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tabs>
          <w:tab w:val="clear" w:pos="575"/>
        </w:tabs>
        <w:ind w:leftChars="0"/>
        <w:jc w:val="center"/>
      </w:pPr>
      <w:bookmarkStart w:id="0" w:name="_Toc468289406"/>
      <w:r>
        <w:rPr>
          <w:rFonts w:hint="eastAsia"/>
        </w:rPr>
        <w:t>辅导员操作手册</w:t>
      </w:r>
      <w:bookmarkEnd w:id="0"/>
    </w:p>
    <w:p>
      <w:pPr>
        <w:rPr>
          <w:rFonts w:hint="eastAsia"/>
          <w:lang w:val="en-US" w:eastAsia="zh-CN"/>
        </w:rPr>
      </w:pPr>
      <w:bookmarkStart w:id="5" w:name="_GoBack"/>
      <w:r>
        <w:rPr>
          <w:rFonts w:hint="eastAsia"/>
          <w:lang w:val="en-US" w:eastAsia="zh-CN"/>
        </w:rPr>
        <w:t>系统最适合浏览器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>360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904875" cy="771525"/>
            <wp:effectExtent l="0" t="0" r="9525" b="9525"/>
            <wp:docPr id="1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、谷歌</w: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114425" cy="800100"/>
            <wp:effectExtent l="0" t="0" r="9525" b="0"/>
            <wp:docPr id="1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宋体" w:hAnsi="宋体"/>
          <w:b w:val="0"/>
          <w:color w:val="FF0000"/>
        </w:rPr>
      </w:pPr>
      <w:r>
        <w:rPr>
          <w:rFonts w:hint="eastAsia" w:ascii="宋体" w:hAnsi="宋体"/>
          <w:color w:val="FF0000"/>
        </w:rPr>
        <w:t>注意：360安全浏览器切换到极速模式而不是使用360兼容模式，模式选择可以点击闪电图标设置</w:t>
      </w:r>
    </w:p>
    <w:p>
      <w:pPr>
        <w:pStyle w:val="8"/>
        <w:numPr>
          <w:ilvl w:val="0"/>
          <w:numId w:val="0"/>
        </w:numPr>
        <w:spacing w:line="240" w:lineRule="auto"/>
        <w:ind w:left="0"/>
        <w:rPr>
          <w:rFonts w:hint="eastAsia" w:ascii="宋体" w:hAnsi="宋体"/>
        </w:rPr>
      </w:pPr>
      <w:r>
        <w:rPr>
          <w:rFonts w:hint="eastAsia" w:ascii="宋体" w:hAnsi="宋体"/>
        </w:rPr>
        <w:t>如下图：</w:t>
      </w:r>
    </w:p>
    <w:p>
      <w:pPr>
        <w:pStyle w:val="8"/>
        <w:numPr>
          <w:ilvl w:val="0"/>
          <w:numId w:val="0"/>
        </w:numPr>
        <w:spacing w:line="240" w:lineRule="auto"/>
        <w:ind w:left="0"/>
      </w:pPr>
      <w:r>
        <w:drawing>
          <wp:inline distT="0" distB="0" distL="114300" distR="114300">
            <wp:extent cx="5085715" cy="723900"/>
            <wp:effectExtent l="0" t="0" r="635" b="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>
      <w:pPr>
        <w:pStyle w:val="8"/>
        <w:numPr>
          <w:ilvl w:val="0"/>
          <w:numId w:val="0"/>
        </w:numPr>
        <w:spacing w:line="240" w:lineRule="auto"/>
        <w:ind w:left="0"/>
      </w:pPr>
    </w:p>
    <w:p>
      <w:pPr>
        <w:pStyle w:val="8"/>
        <w:numPr>
          <w:ilvl w:val="0"/>
          <w:numId w:val="0"/>
        </w:numPr>
        <w:spacing w:line="240" w:lineRule="auto"/>
        <w:ind w:left="0"/>
        <w:rPr>
          <w:rFonts w:hint="eastAsia" w:ascii="宋体" w:hAnsi="宋体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3644265</wp:posOffset>
            </wp:positionV>
            <wp:extent cx="5039360" cy="1062355"/>
            <wp:effectExtent l="0" t="0" r="8890" b="4445"/>
            <wp:wrapSquare wrapText="bothSides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3491865</wp:posOffset>
            </wp:positionV>
            <wp:extent cx="5039360" cy="1062355"/>
            <wp:effectExtent l="0" t="0" r="8890" b="4445"/>
            <wp:wrapSquare wrapText="bothSides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3644265</wp:posOffset>
            </wp:positionV>
            <wp:extent cx="5039360" cy="1062355"/>
            <wp:effectExtent l="0" t="0" r="8890" b="4445"/>
            <wp:wrapSquare wrapText="bothSides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3491865</wp:posOffset>
            </wp:positionV>
            <wp:extent cx="5039360" cy="1062355"/>
            <wp:effectExtent l="0" t="0" r="8890" b="4445"/>
            <wp:wrapSquare wrapText="bothSides"/>
            <wp:docPr id="13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1.1.1.主页介绍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1.1.2.生源信息核对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1.1.3.就业推荐表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1.1.4.毕业去向</w:t>
      </w:r>
    </w:p>
    <w:p>
      <w:pPr>
        <w:pStyle w:val="3"/>
      </w:pPr>
      <w:bookmarkStart w:id="1" w:name="_Toc468289407"/>
      <w:r>
        <w:rPr>
          <w:rFonts w:hint="eastAsia"/>
        </w:rPr>
        <w:t>主页介绍</w:t>
      </w:r>
      <w:bookmarkEnd w:id="1"/>
    </w:p>
    <w:p>
      <w:pPr>
        <w:spacing w:line="360" w:lineRule="auto"/>
        <w:ind w:firstLine="422" w:firstLineChars="200"/>
        <w:jc w:val="left"/>
        <w:rPr>
          <w:b w:val="0"/>
        </w:rPr>
      </w:pPr>
      <w:r>
        <w:rPr>
          <w:rFonts w:hint="eastAsia" w:ascii="宋体" w:hAnsi="宋体" w:cs="宋体"/>
          <w:color w:val="FF0000"/>
          <w:kern w:val="0"/>
        </w:rPr>
        <w:t>院系辅导员</w:t>
      </w:r>
      <w:r>
        <w:rPr>
          <w:rFonts w:hint="eastAsia" w:ascii="宋体" w:hAnsi="宋体" w:cs="宋体"/>
          <w:b w:val="0"/>
          <w:kern w:val="0"/>
        </w:rPr>
        <w:t>登录后，在页面首页展示“个人中心”，“个人中心”包括“消息</w:t>
      </w:r>
      <w:r>
        <w:rPr>
          <w:rFonts w:hint="eastAsia"/>
          <w:b w:val="0"/>
        </w:rPr>
        <w:t>中心”、“统计一览”、“编辑账户”三部分。</w:t>
      </w:r>
    </w:p>
    <w:p>
      <w:pPr>
        <w:spacing w:line="360" w:lineRule="auto"/>
        <w:ind w:firstLine="420" w:firstLineChars="200"/>
        <w:jc w:val="left"/>
        <w:rPr>
          <w:b w:val="0"/>
        </w:rPr>
      </w:pPr>
      <w:r>
        <w:rPr>
          <w:rFonts w:hint="eastAsia"/>
          <w:b w:val="0"/>
        </w:rPr>
        <w:t>“消息中心”可以查看当前登录用户的“待办事项”、“消息通知”，可以直接点击具体“待办事项”跳转至具体页面进行数据审核等操作。“消息通知”可以查看最新的消息信息。</w:t>
      </w:r>
    </w:p>
    <w:p>
      <w:pPr>
        <w:spacing w:line="360" w:lineRule="auto"/>
        <w:ind w:firstLine="422" w:firstLineChars="200"/>
        <w:jc w:val="center"/>
        <w:rPr>
          <w:sz w:val="24"/>
          <w:szCs w:val="24"/>
        </w:rPr>
      </w:pPr>
      <w:r>
        <w:drawing>
          <wp:inline distT="0" distB="0" distL="114300" distR="114300">
            <wp:extent cx="5268595" cy="172021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spacing w:line="360" w:lineRule="auto"/>
        <w:ind w:firstLine="482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个人中心页面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b w:val="0"/>
          <w:kern w:val="0"/>
        </w:rPr>
      </w:pPr>
      <w:r>
        <w:rPr>
          <w:rFonts w:hint="eastAsia" w:ascii="宋体" w:hAnsi="宋体" w:cs="宋体"/>
          <w:b w:val="0"/>
          <w:kern w:val="0"/>
        </w:rPr>
        <w:t>“统计一览”：毕业去向展示，分为图表展示和列表数据统计，辅导员登录后可以查看学院的毕业去向信息。</w:t>
      </w:r>
    </w:p>
    <w:p>
      <w:pPr>
        <w:spacing w:line="360" w:lineRule="auto"/>
        <w:ind w:firstLine="422" w:firstLineChars="200"/>
        <w:jc w:val="center"/>
        <w:rPr>
          <w:sz w:val="24"/>
          <w:szCs w:val="24"/>
        </w:rPr>
      </w:pPr>
      <w:r>
        <w:drawing>
          <wp:inline distT="0" distB="0" distL="114300" distR="114300">
            <wp:extent cx="5268595" cy="244919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统计一览</w:t>
      </w:r>
    </w:p>
    <w:p>
      <w:pPr>
        <w:spacing w:line="360" w:lineRule="auto"/>
        <w:ind w:firstLine="420" w:firstLineChars="200"/>
        <w:jc w:val="left"/>
        <w:rPr>
          <w:b w:val="0"/>
        </w:rPr>
      </w:pPr>
      <w:r>
        <w:rPr>
          <w:rFonts w:hint="eastAsia"/>
          <w:b w:val="0"/>
        </w:rPr>
        <w:t>“编辑账户”：可以进行用户密码的修改。</w:t>
      </w:r>
    </w:p>
    <w:p>
      <w:pPr>
        <w:spacing w:line="360" w:lineRule="auto"/>
        <w:ind w:firstLine="422" w:firstLineChars="200"/>
        <w:jc w:val="center"/>
        <w:rPr>
          <w:sz w:val="24"/>
          <w:szCs w:val="24"/>
        </w:rPr>
      </w:pPr>
      <w:r>
        <w:drawing>
          <wp:inline distT="0" distB="0" distL="114300" distR="114300">
            <wp:extent cx="5268595" cy="2456815"/>
            <wp:effectExtent l="0" t="0" r="825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编辑账户</w:t>
      </w:r>
    </w:p>
    <w:p>
      <w:pPr>
        <w:pStyle w:val="3"/>
      </w:pPr>
      <w:bookmarkStart w:id="2" w:name="_Toc468289408"/>
      <w:r>
        <w:rPr>
          <w:rFonts w:hint="eastAsia"/>
        </w:rPr>
        <w:t>生源信息核对</w:t>
      </w:r>
      <w:bookmarkEnd w:id="2"/>
    </w:p>
    <w:p>
      <w:pPr>
        <w:pStyle w:val="4"/>
      </w:pPr>
      <w:r>
        <w:rPr>
          <w:rFonts w:hint="eastAsia"/>
        </w:rPr>
        <w:t>学生信息综合统计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学生信息综合统计：用来统计已经完成生源核对的学生信息，系统提供数据列表和图表两种展示方式。列表统计主要按照学生性别比例、民族、生源地区、培养方式等展示已经审核通过的学生信息。可以点击左上角统计日期中的“本周统计”、“月度统计”、“年度统计”按照时间周期来统计。页面展示如下图：</w:t>
      </w:r>
    </w:p>
    <w:p>
      <w:r>
        <w:drawing>
          <wp:inline distT="0" distB="0" distL="114300" distR="114300">
            <wp:extent cx="5268595" cy="244919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列表形式展示页面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图表展示页面：点击列表展示页右上角的标记（如图81），进入图表展示页面（如图82），用图表形式展示院系各专业完成核对信息核未完成数据的对比。可以按照统计项进行展示。</w:t>
      </w:r>
    </w:p>
    <w:p>
      <w:r>
        <w:drawing>
          <wp:inline distT="0" distB="0" distL="114300" distR="114300">
            <wp:extent cx="5268595" cy="2433955"/>
            <wp:effectExtent l="0" t="0" r="825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图表形式学生综合统计</w:t>
      </w:r>
    </w:p>
    <w:p>
      <w:pPr>
        <w:pStyle w:val="4"/>
      </w:pPr>
      <w:r>
        <w:rPr>
          <w:rFonts w:hint="eastAsia"/>
        </w:rPr>
        <w:t>学生信息核对</w:t>
      </w:r>
    </w:p>
    <w:p>
      <w:pPr>
        <w:spacing w:line="360" w:lineRule="auto"/>
        <w:ind w:firstLine="422" w:firstLineChars="200"/>
        <w:rPr>
          <w:b w:val="0"/>
        </w:rPr>
      </w:pPr>
      <w:r>
        <w:rPr>
          <w:rFonts w:hint="eastAsia"/>
          <w:color w:val="FF0000"/>
        </w:rPr>
        <w:t>院系辅导员</w:t>
      </w:r>
      <w:r>
        <w:rPr>
          <w:rFonts w:hint="eastAsia"/>
          <w:b w:val="0"/>
        </w:rPr>
        <w:t>可以通过“学生信息核对”模块，查看当前院系学生信息和核对情况。系统提供按照查询条件查询的功能，在查询区域输入查询条件点击“查询”按钮即可，如果需要清除查询条件，点击“重置按钮”。“更多”按钮，会显示所有的查询条件，不需要时可以点击“更多”进行收起。如下图</w:t>
      </w:r>
    </w:p>
    <w:p>
      <w:r>
        <w:drawing>
          <wp:inline distT="0" distB="0" distL="114300" distR="114300">
            <wp:extent cx="5264785" cy="2422525"/>
            <wp:effectExtent l="0" t="0" r="12065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学生信息核对列表页面</w:t>
      </w:r>
    </w:p>
    <w:p>
      <w:pPr>
        <w:spacing w:line="360" w:lineRule="auto"/>
        <w:ind w:firstLine="420" w:firstLineChars="200"/>
        <w:jc w:val="left"/>
        <w:rPr>
          <w:rFonts w:hint="eastAsia"/>
          <w:b w:val="0"/>
        </w:rPr>
      </w:pPr>
      <w:r>
        <w:rPr>
          <w:rFonts w:hint="eastAsia"/>
          <w:b w:val="0"/>
        </w:rPr>
        <w:t>列表页面，显示“总人数”、“未提交人数”、“待院系辅导员审核”、“待就业管理员审核”、“审核完成人数”，可以点击具体数据进入详细页面查看学生信息。例如：可以点击“总人数”列下的数据，进入页面，查看信息。</w:t>
      </w:r>
    </w:p>
    <w:p>
      <w:pPr>
        <w:spacing w:line="360" w:lineRule="auto"/>
        <w:ind w:firstLine="422" w:firstLineChars="200"/>
        <w:jc w:val="left"/>
        <w:rPr>
          <w:rFonts w:hint="eastAsia"/>
          <w:b w:val="0"/>
        </w:rPr>
      </w:pPr>
      <w:r>
        <w:drawing>
          <wp:inline distT="0" distB="0" distL="114300" distR="114300">
            <wp:extent cx="5274310" cy="28359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  <w:rPr>
          <w:rFonts w:hint="eastAsia"/>
          <w:b w:val="0"/>
        </w:rPr>
      </w:pPr>
      <w:r>
        <w:rPr>
          <w:rFonts w:hint="eastAsia"/>
          <w:b w:val="0"/>
        </w:rPr>
        <w:t>点击待辅导员审核列下的具体数字，在待辅导员审核页面进行审核。勾选具体的学生核对信息，点击“审核通过”、“审核退回”、“退回至学生”按钮进行审核。“审核通过”：辅导员审核通过后，数据状态为“待就业管理员审核”；“审核退回”操作可以添加审核意见，数据状态为“辅导员审核退回”状态，学生可以登录系统对个人信息核对进行修改，并再次上报辅导员审核；“退回至学生”，与审核退回操作类似，但是退回至学生后，数据状态为草稿状态，学生也可以修改提交。</w:t>
      </w:r>
    </w:p>
    <w:p>
      <w:pPr>
        <w:spacing w:line="360" w:lineRule="auto"/>
        <w:ind w:firstLine="422" w:firstLineChars="200"/>
        <w:jc w:val="left"/>
        <w:rPr>
          <w:b w:val="0"/>
        </w:rPr>
      </w:pPr>
      <w:r>
        <w:drawing>
          <wp:inline distT="0" distB="0" distL="114300" distR="114300">
            <wp:extent cx="5257165" cy="1704975"/>
            <wp:effectExtent l="0" t="0" r="63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点击列表页姓名列，跳转至“学生信息核对”页面可以查看到学生的信息。也可以在具体页面对学生进行审核操作，页面底部有相应的操作按钮。如下图：</w:t>
      </w:r>
    </w:p>
    <w:p/>
    <w:p>
      <w:r>
        <w:drawing>
          <wp:inline distT="0" distB="0" distL="114300" distR="114300">
            <wp:extent cx="5257165" cy="2694940"/>
            <wp:effectExtent l="0" t="0" r="63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学生信息核对详情页面</w:t>
      </w:r>
    </w:p>
    <w:p>
      <w:pPr>
        <w:pStyle w:val="4"/>
      </w:pPr>
      <w:r>
        <w:rPr>
          <w:rFonts w:hint="eastAsia"/>
        </w:rPr>
        <w:t>学生信息综合查询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学生信息综合查询页面，主要显示学生核对信息已经审核通过的学生。菜单提供查询和查看学生具体信息、导出的功能。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查询：在查询区域输入查询条件，点击查询按钮即可；点击“重置”按钮，可以清除查询条件，点击“更多”，显示所有查询条件。如下图：</w:t>
      </w:r>
    </w:p>
    <w:p>
      <w:pPr>
        <w:spacing w:line="360" w:lineRule="auto"/>
        <w:ind w:firstLine="422" w:firstLineChars="200"/>
        <w:rPr>
          <w:b w:val="0"/>
          <w:sz w:val="24"/>
          <w:szCs w:val="24"/>
        </w:rPr>
      </w:pPr>
      <w:r>
        <w:drawing>
          <wp:inline distT="0" distB="0" distL="114300" distR="114300">
            <wp:extent cx="5274310" cy="270319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学生信息综合查询主页面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查看：点击学生“姓名”列，跳转至查看学生详情页面。该页面可以查看学生的“信息核对”、“毕业去向”、“推荐表”、“个人简历”信息。</w:t>
      </w:r>
    </w:p>
    <w:p>
      <w:pPr>
        <w:jc w:val="center"/>
        <w:rPr>
          <w:sz w:val="24"/>
          <w:szCs w:val="24"/>
        </w:rPr>
      </w:pPr>
      <w:r>
        <w:drawing>
          <wp:inline distT="0" distB="0" distL="114300" distR="114300">
            <wp:extent cx="5247640" cy="2704465"/>
            <wp:effectExtent l="0" t="0" r="1016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查看详情页面</w:t>
      </w:r>
    </w:p>
    <w:p>
      <w:pPr>
        <w:pStyle w:val="3"/>
      </w:pPr>
      <w:bookmarkStart w:id="3" w:name="_Toc468289409"/>
      <w:r>
        <w:rPr>
          <w:rFonts w:hint="eastAsia"/>
        </w:rPr>
        <w:t>就业推荐表</w:t>
      </w:r>
      <w:bookmarkEnd w:id="3"/>
    </w:p>
    <w:p>
      <w:pPr>
        <w:pStyle w:val="4"/>
      </w:pPr>
      <w:r>
        <w:rPr>
          <w:rFonts w:hint="eastAsia"/>
        </w:rPr>
        <w:t>就业推荐表统计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就业推荐表统计：用来统计已经完成推荐表的学生信息，系统提供数据列表和图表两种展示方式。列表统计主要按照审核学生人数、学历等展示学生推荐表信息。可以点击左上角统计日期中的“本周统计”、“月度统计”、“年度统计”按照时间周期来统计。页面展示如下图：</w:t>
      </w:r>
    </w:p>
    <w:p>
      <w:r>
        <w:drawing>
          <wp:inline distT="0" distB="0" distL="114300" distR="114300">
            <wp:extent cx="5271135" cy="1741170"/>
            <wp:effectExtent l="0" t="0" r="5715" b="1143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/>
        </w:rPr>
        <w:t>统计页面</w:t>
      </w:r>
    </w:p>
    <w:p>
      <w:pPr>
        <w:spacing w:line="360" w:lineRule="auto"/>
        <w:ind w:firstLine="420" w:firstLineChars="200"/>
        <w:jc w:val="left"/>
        <w:rPr>
          <w:b w:val="0"/>
        </w:rPr>
      </w:pPr>
      <w:r>
        <w:rPr>
          <w:rFonts w:hint="eastAsia"/>
          <w:b w:val="0"/>
        </w:rPr>
        <w:t>图表展示页面：点击列表展示页右上角的标记，进入图表展示页面，用图表形式展示各院系学生完成的推荐表信息。可以按照统计项进行展示。</w:t>
      </w:r>
    </w:p>
    <w:p>
      <w:r>
        <w:drawing>
          <wp:inline distT="0" distB="0" distL="114300" distR="114300">
            <wp:extent cx="5273040" cy="2546350"/>
            <wp:effectExtent l="0" t="0" r="381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就业推荐表审核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推荐表审核模块主要用于审核学生上报的推荐表信息，查询推荐表信息，也可以对学生上报的推荐表进行修改。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打开“推荐表审核”菜单，列表按照院系和状态来显示学生的推荐表信息。查询区域可以按照查询条件进行查询，点击“重置”按钮可以清除查询条件，点击“更多”显示所有的查询区域。列表中“未提交人数”、“待院系辅导员审核”、“审核完成”等状态进行显示，每种状态都是可链接的形式，直接点击人数即可进入查看每种状态下具体学生的页面。</w:t>
      </w:r>
    </w:p>
    <w:p>
      <w:r>
        <w:drawing>
          <wp:inline distT="0" distB="0" distL="114300" distR="114300">
            <wp:extent cx="5271135" cy="1817370"/>
            <wp:effectExtent l="0" t="0" r="5715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 “就业推荐表审核”主页面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待院系辅导员审核：点击“待院系辅导员审核”列，可以跳转至“待院系辅导员审核”页面，查看学生提交的推荐表，并进行审核或者审核退回操作（如下图）。查询区域提供按照查询条件查询的功能，“重置”按钮可以清除查询信息，“更多”显示所有查询条件。</w:t>
      </w:r>
    </w:p>
    <w:p>
      <w:pPr>
        <w:jc w:val="center"/>
      </w:pPr>
      <w:r>
        <w:drawing>
          <wp:inline distT="0" distB="0" distL="114300" distR="114300">
            <wp:extent cx="5271135" cy="1607820"/>
            <wp:effectExtent l="0" t="0" r="5715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学生推荐表审核页面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勾选一条待信息，点击“审核通过”按钮，可进行审核，审核通过后数据默认状态为“就业管理员审核通过”状态。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 xml:space="preserve"> “审核退回”完成后，推荐表会退回至学生，并更改状态为“审核退回（辅导员）”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 xml:space="preserve"> “打印”审核通过后，可以打印学生推荐表信息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点击学生姓名列的姓名，可以进入该学生的推荐表详细信息页面进行查看和操作，可以在该页面添加院系评语，页面最下端放置“审核通”、“审核退回”等功能按钮，可以点击功能按钮进行直接审核。如下图</w:t>
      </w:r>
    </w:p>
    <w:p>
      <w:pPr>
        <w:jc w:val="center"/>
      </w:pPr>
      <w:r>
        <w:drawing>
          <wp:inline distT="0" distB="0" distL="114300" distR="114300">
            <wp:extent cx="5273040" cy="2687955"/>
            <wp:effectExtent l="0" t="0" r="3810" b="171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学生推荐表详情展示页面</w:t>
      </w:r>
    </w:p>
    <w:p>
      <w:pPr>
        <w:pStyle w:val="4"/>
      </w:pPr>
      <w:r>
        <w:rPr>
          <w:rFonts w:hint="eastAsia"/>
        </w:rPr>
        <w:t>就业推荐表变更审核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推荐表变更模块，指学生对已经完成的推荐表提出的变更申请。辅导员可以审核学生提交的变更申请。</w:t>
      </w:r>
    </w:p>
    <w:p>
      <w:pPr>
        <w:pStyle w:val="4"/>
      </w:pPr>
      <w:r>
        <w:rPr>
          <w:rFonts w:hint="eastAsia"/>
        </w:rPr>
        <w:t>评语模板</w:t>
      </w:r>
    </w:p>
    <w:p>
      <w:pPr>
        <w:spacing w:line="360" w:lineRule="auto"/>
        <w:ind w:firstLine="422" w:firstLineChars="200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FF0000"/>
        </w:rPr>
        <w:t>院系辅导员</w:t>
      </w:r>
      <w:r>
        <w:rPr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使用该模块增加院系评语模板，点击“新增”按钮，输入标题和评语内容保存会在列表页面新增一条信息。勾选一条数据，可以进行“删除”、“修改”操作。如下图</w:t>
      </w:r>
    </w:p>
    <w:p>
      <w:r>
        <w:drawing>
          <wp:inline distT="0" distB="0" distL="0" distR="0">
            <wp:extent cx="5274310" cy="1756410"/>
            <wp:effectExtent l="0" t="0" r="2540" b="1524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 “评语模板”主页面</w:t>
      </w:r>
    </w:p>
    <w:p/>
    <w:p>
      <w:r>
        <w:drawing>
          <wp:inline distT="0" distB="0" distL="0" distR="0">
            <wp:extent cx="5274310" cy="2882265"/>
            <wp:effectExtent l="0" t="0" r="2540" b="1333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新增评语模板页面</w:t>
      </w:r>
    </w:p>
    <w:p>
      <w:pPr>
        <w:pStyle w:val="3"/>
      </w:pPr>
      <w:bookmarkStart w:id="4" w:name="_Toc468289410"/>
      <w:r>
        <w:rPr>
          <w:rFonts w:hint="eastAsia"/>
        </w:rPr>
        <w:t>毕业去向管理</w:t>
      </w:r>
      <w:bookmarkEnd w:id="4"/>
    </w:p>
    <w:p>
      <w:pPr>
        <w:pStyle w:val="4"/>
      </w:pPr>
      <w:r>
        <w:rPr>
          <w:rFonts w:hint="eastAsia"/>
        </w:rPr>
        <w:t>毕业去向统计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毕业去向统计：用来统计已经完成毕业去向的学生信息，系统提供数据列表和图表两种展示方式。列表展示位“未审核通过”、“审核通过”的数据，“审核通过”按照不同的毕业去向展示数据。可以点击左上角统计日期中的“本周统计”、“月度统计”、“年度统计”按照时间周期来统计。</w:t>
      </w:r>
    </w:p>
    <w:p>
      <w:pPr>
        <w:spacing w:line="360" w:lineRule="auto"/>
        <w:jc w:val="center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1800225"/>
            <wp:effectExtent l="0" t="0" r="2540" b="9525"/>
            <wp:wrapSquare wrapText="bothSides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列表形式展示页面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图表展示页面：点击列表展示页右上角的标记，进入图表展示页面，用图表形式展示院系各专业完成的毕业去向信息。可以按照统计方式、统计项目、去向类型进行展示。</w:t>
      </w:r>
    </w:p>
    <w:p>
      <w:r>
        <w:drawing>
          <wp:inline distT="0" distB="0" distL="0" distR="0">
            <wp:extent cx="5274310" cy="3171825"/>
            <wp:effectExtent l="0" t="0" r="2540" b="952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图表展示页面</w:t>
      </w:r>
    </w:p>
    <w:p>
      <w:pPr>
        <w:pStyle w:val="4"/>
      </w:pPr>
      <w:r>
        <w:rPr>
          <w:rFonts w:hint="eastAsia"/>
        </w:rPr>
        <w:t>毕业去向审核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学生提交的毕业去向信息会在“毕业去向审核”模块显示，</w:t>
      </w:r>
      <w:r>
        <w:rPr>
          <w:rFonts w:hint="eastAsia"/>
          <w:color w:val="FF0000"/>
        </w:rPr>
        <w:t>辅导员</w:t>
      </w:r>
      <w:r>
        <w:rPr>
          <w:rFonts w:hint="eastAsia"/>
          <w:b w:val="0"/>
        </w:rPr>
        <w:t>可在该模块进行查看和处理。如下图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打开“毕业去向”菜单，列表按照院系和状态来显示学生提交的毕业去向信息。查询区域可以按照查询条件进行查询，点击“重置”按钮可以清除查询条件，点击“更多”显示所有的查询区域。列表中“未申请人数”、“待院系辅导员审核”、“待就业管理员审核”、“审核完成”等状态进行显示，每种状态都是可链接的形式，直接点击人数即可进入查看每种状态下具体学生的页面。</w:t>
      </w:r>
    </w:p>
    <w:p>
      <w:pPr>
        <w:jc w:val="center"/>
        <w:rPr>
          <w:sz w:val="24"/>
          <w:szCs w:val="24"/>
        </w:rPr>
      </w:pPr>
      <w:r>
        <w:drawing>
          <wp:inline distT="0" distB="0" distL="114300" distR="114300">
            <wp:extent cx="4533265" cy="1933575"/>
            <wp:effectExtent l="0" t="0" r="63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毕业去向页面展示</w:t>
      </w:r>
    </w:p>
    <w:p>
      <w:pPr>
        <w:pStyle w:val="5"/>
        <w:rPr>
          <w:b/>
        </w:rPr>
      </w:pPr>
      <w:r>
        <w:rPr>
          <w:rFonts w:hint="eastAsia"/>
          <w:b/>
        </w:rPr>
        <w:t>作废信息查询</w:t>
      </w:r>
    </w:p>
    <w:p>
      <w:pPr>
        <w:spacing w:line="360" w:lineRule="auto"/>
        <w:ind w:firstLine="420" w:firstLineChars="200"/>
        <w:jc w:val="left"/>
        <w:rPr>
          <w:b w:val="0"/>
        </w:rPr>
      </w:pPr>
      <w:r>
        <w:rPr>
          <w:rFonts w:hint="eastAsia"/>
          <w:b w:val="0"/>
        </w:rPr>
        <w:t>作废信息查询：点击主页面“作废信息查询”按钮，可以进入“作废信息查询”页面，如下图</w:t>
      </w:r>
    </w:p>
    <w:p>
      <w:pPr>
        <w:jc w:val="center"/>
        <w:rPr>
          <w:sz w:val="24"/>
          <w:szCs w:val="24"/>
        </w:rPr>
      </w:pPr>
      <w:r>
        <w:drawing>
          <wp:inline distT="0" distB="0" distL="0" distR="0">
            <wp:extent cx="5274310" cy="2656205"/>
            <wp:effectExtent l="0" t="0" r="2540" b="10795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作废信息查询页面</w:t>
      </w:r>
    </w:p>
    <w:p>
      <w:pPr>
        <w:pStyle w:val="5"/>
        <w:rPr>
          <w:b/>
        </w:rPr>
      </w:pPr>
      <w:r>
        <w:rPr>
          <w:rFonts w:hint="eastAsia"/>
          <w:b/>
        </w:rPr>
        <w:t>审核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点击“待院系辅导员审核”列，可以跳转至“待院系辅导员审核”页面，查看学生提交的毕业去向，并进行审核或者审核退回操作（如下图）。查询区域提供按照查询条件查询的功能，“重置”按钮可以清除查询信息，“更多”显示所有查询条件。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“审核通过并上报”完成后，毕业去向会上报至就业管理员，并更改状态为“待审核（就业管理员）”；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“审核退回”完成后，推荐表会退回至学生，并更改状态为“审核退回（辅导员）”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“退回至学生”完成后，毕业去向会退回给学生，同时辅导员将不能查看到该数据，更改状态为“草稿”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drawing>
          <wp:inline distT="0" distB="0" distL="0" distR="0">
            <wp:extent cx="5274310" cy="2123440"/>
            <wp:effectExtent l="0" t="0" r="2540" b="1016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“待辅导员审核”页面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点击“中心审核完成”列下的具体数据，进入“中心审核完成”页面进行查看。如下图</w:t>
      </w:r>
    </w:p>
    <w:p>
      <w:pPr>
        <w:jc w:val="center"/>
        <w:rPr>
          <w:sz w:val="24"/>
          <w:szCs w:val="24"/>
        </w:rPr>
      </w:pPr>
      <w:r>
        <w:drawing>
          <wp:inline distT="0" distB="0" distL="0" distR="0">
            <wp:extent cx="5274310" cy="1993900"/>
            <wp:effectExtent l="0" t="0" r="2540" b="635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“中心审核完成”页面</w:t>
      </w:r>
    </w:p>
    <w:p>
      <w:pPr>
        <w:pStyle w:val="4"/>
      </w:pPr>
      <w:r>
        <w:rPr>
          <w:rFonts w:hint="eastAsia"/>
        </w:rPr>
        <w:t>毕业去向违约审核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学生提交的毕业去向变更信息会在“毕业去向变更审核”模块显示，</w:t>
      </w:r>
      <w:r>
        <w:rPr>
          <w:rFonts w:hint="eastAsia"/>
          <w:color w:val="FF0000"/>
        </w:rPr>
        <w:t>辅导员</w:t>
      </w:r>
      <w:r>
        <w:rPr>
          <w:rFonts w:hint="eastAsia"/>
          <w:b w:val="0"/>
        </w:rPr>
        <w:t>可在该模块进行查看和处理。如图40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打开“毕业去向违约审核”菜单，可以查看到已经提交的违约申请，对学生提交的违约信息进行审核（如下图）审核通过后，学生原来的毕业去向将作废 。查询区域可以按照查询条件进行查询，点击“重置”按钮可以清除查询条件，点击“更多”显示所有的查询区域。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“审核通过并上报”完成后，违约申请会上报至就业管理员，并更改状态为“待审核（就业管理员）”；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“审核退回”完成后，违约申请会退回至学生，并更改状态为“审核退回（辅导员）”</w:t>
      </w:r>
    </w:p>
    <w:p>
      <w:pPr>
        <w:spacing w:line="360" w:lineRule="auto"/>
        <w:ind w:firstLine="420" w:firstLineChars="200"/>
        <w:rPr>
          <w:b w:val="0"/>
        </w:rPr>
      </w:pPr>
      <w:r>
        <w:rPr>
          <w:rFonts w:hint="eastAsia"/>
          <w:b w:val="0"/>
        </w:rPr>
        <w:t>“退回至学生”完成后，违约申请退回给学生，同时辅导员将不能查看到该数据，更改状态为“草稿”</w:t>
      </w:r>
    </w:p>
    <w:p>
      <w:pPr>
        <w:spacing w:line="360" w:lineRule="auto"/>
        <w:ind w:firstLine="480" w:firstLineChars="200"/>
        <w:rPr>
          <w:b w:val="0"/>
          <w:sz w:val="24"/>
          <w:szCs w:val="24"/>
        </w:rPr>
      </w:pPr>
    </w:p>
    <w:p>
      <w:r>
        <w:drawing>
          <wp:inline distT="0" distB="0" distL="0" distR="0">
            <wp:extent cx="5274310" cy="1993265"/>
            <wp:effectExtent l="0" t="0" r="2540" b="6985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“毕业去向违约审核”主页面</w:t>
      </w:r>
    </w:p>
    <w:p>
      <w:pPr>
        <w:spacing w:line="360" w:lineRule="auto"/>
        <w:rPr>
          <w:b w:val="0"/>
        </w:rPr>
      </w:pPr>
      <w:r>
        <w:rPr>
          <w:rFonts w:hint="eastAsia"/>
          <w:b w:val="0"/>
        </w:rPr>
        <w:t>点击学生“姓名”，可进入具体的违约申请页面，进行查看和操作。</w:t>
      </w:r>
    </w:p>
    <w:p>
      <w:pPr>
        <w:spacing w:line="360" w:lineRule="auto"/>
        <w:jc w:val="center"/>
        <w:rPr>
          <w:sz w:val="24"/>
          <w:szCs w:val="24"/>
        </w:rPr>
      </w:pPr>
      <w:r>
        <w:drawing>
          <wp:inline distT="0" distB="0" distL="0" distR="0">
            <wp:extent cx="5029200" cy="2339340"/>
            <wp:effectExtent l="0" t="0" r="0" b="381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26779" cy="23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详情页面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Segoe U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F1B"/>
    <w:multiLevelType w:val="multilevel"/>
    <w:tmpl w:val="052A5F1B"/>
    <w:lvl w:ilvl="0" w:tentative="0">
      <w:start w:val="1"/>
      <w:numFmt w:val="bullet"/>
      <w:pStyle w:val="8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5654B15"/>
    <w:multiLevelType w:val="multilevel"/>
    <w:tmpl w:val="55654B15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 w:tentative="0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3" w:tentative="0">
      <w:start w:val="1"/>
      <w:numFmt w:val="decimal"/>
      <w:pStyle w:val="4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5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  <w:b/>
      </w:rPr>
    </w:lvl>
    <w:lvl w:ilvl="5" w:tentative="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13653"/>
    <w:rsid w:val="2739349B"/>
    <w:rsid w:val="404E374D"/>
    <w:rsid w:val="59D86D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260" w:after="260" w:line="415" w:lineRule="auto"/>
      <w:outlineLvl w:val="1"/>
    </w:pPr>
    <w:rPr>
      <w:bCs/>
      <w:color w:val="000000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outlineLvl w:val="2"/>
    </w:pPr>
    <w:rPr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tabs>
        <w:tab w:val="left" w:pos="432"/>
      </w:tabs>
      <w:adjustRightInd w:val="0"/>
      <w:spacing w:before="260" w:after="260"/>
      <w:jc w:val="left"/>
      <w:outlineLvl w:val="3"/>
    </w:pPr>
    <w:rPr>
      <w:bCs/>
      <w:sz w:val="32"/>
      <w:szCs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432"/>
      </w:tabs>
      <w:spacing w:before="280" w:after="290" w:line="376" w:lineRule="auto"/>
      <w:outlineLvl w:val="4"/>
    </w:pPr>
    <w:rPr>
      <w:b w:val="0"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numPr>
        <w:ilvl w:val="0"/>
        <w:numId w:val="2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ZhaoSheng</dc:creator>
  <cp:lastModifiedBy>ZhaoSheng</cp:lastModifiedBy>
  <dcterms:modified xsi:type="dcterms:W3CDTF">2017-02-24T02:14:28Z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