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bookmarkStart w:id="0" w:name="_Toc468867316"/>
      <w:r>
        <w:rPr>
          <w:rFonts w:hint="eastAsia"/>
        </w:rPr>
        <w:t>学生操作手册</w:t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系统最适合浏览器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360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904875" cy="771525"/>
            <wp:effectExtent l="0" t="0" r="9525" b="9525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、谷歌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114425" cy="800100"/>
            <wp:effectExtent l="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b w:val="0"/>
          <w:color w:val="FF0000"/>
        </w:rPr>
      </w:pPr>
      <w:r>
        <w:rPr>
          <w:rFonts w:hint="eastAsia" w:ascii="宋体" w:hAnsi="宋体"/>
          <w:color w:val="FF0000"/>
        </w:rPr>
        <w:t>注意：360安全浏览器切换到极速模式而不是使用360兼容模式，模式选择可以点击闪电图标设置</w:t>
      </w:r>
    </w:p>
    <w:p>
      <w:pPr>
        <w:pStyle w:val="28"/>
        <w:numPr>
          <w:ilvl w:val="0"/>
          <w:numId w:val="0"/>
        </w:numPr>
        <w:spacing w:line="240" w:lineRule="auto"/>
        <w:ind w:left="0"/>
        <w:rPr>
          <w:rFonts w:hint="eastAsia" w:ascii="宋体" w:hAnsi="宋体"/>
        </w:rPr>
      </w:pPr>
      <w:r>
        <w:rPr>
          <w:rFonts w:hint="eastAsia" w:ascii="宋体" w:hAnsi="宋体"/>
        </w:rPr>
        <w:t>如下图：</w:t>
      </w:r>
    </w:p>
    <w:p>
      <w:pPr>
        <w:pStyle w:val="28"/>
        <w:numPr>
          <w:ilvl w:val="0"/>
          <w:numId w:val="0"/>
        </w:numPr>
        <w:spacing w:line="240" w:lineRule="auto"/>
        <w:ind w:left="0"/>
      </w:pPr>
      <w:r>
        <w:drawing>
          <wp:inline distT="0" distB="0" distL="114300" distR="114300">
            <wp:extent cx="5085715" cy="723900"/>
            <wp:effectExtent l="0" t="0" r="635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5" w:name="_GoBack"/>
      <w:bookmarkEnd w:id="5"/>
    </w:p>
    <w:p>
      <w:pPr>
        <w:pStyle w:val="4"/>
      </w:pPr>
      <w:bookmarkStart w:id="1" w:name="_Toc468867317"/>
      <w:r>
        <w:rPr>
          <w:rFonts w:hint="eastAsia"/>
        </w:rPr>
        <w:t>主页介绍</w:t>
      </w:r>
      <w:bookmarkEnd w:id="1"/>
    </w:p>
    <w:p>
      <w:pPr>
        <w:spacing w:line="360" w:lineRule="auto"/>
        <w:ind w:firstLine="422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color w:val="FF0000"/>
          <w:kern w:val="0"/>
        </w:rPr>
        <w:t>学生用户</w:t>
      </w:r>
      <w:r>
        <w:rPr>
          <w:rFonts w:hint="eastAsia" w:ascii="宋体" w:hAnsi="宋体" w:cs="宋体"/>
          <w:b w:val="0"/>
          <w:kern w:val="0"/>
        </w:rPr>
        <w:t xml:space="preserve">登录系统后，页面左边显示系统功能列表，主页面显示个人中心信息，包括“消息中心”、“概况信息”、“编辑账户”等常用信息。 </w:t>
      </w:r>
    </w:p>
    <w:p>
      <w:r>
        <w:drawing>
          <wp:inline distT="0" distB="0" distL="114300" distR="114300">
            <wp:extent cx="5264785" cy="1797685"/>
            <wp:effectExtent l="0" t="0" r="1206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主页面</w:t>
      </w:r>
    </w:p>
    <w:p>
      <w:pPr>
        <w:pStyle w:val="5"/>
      </w:pPr>
      <w:r>
        <w:rPr>
          <w:rFonts w:hint="eastAsia"/>
        </w:rPr>
        <w:t>概况信息</w:t>
      </w:r>
    </w:p>
    <w:p>
      <w:pPr>
        <w:spacing w:line="360" w:lineRule="auto"/>
        <w:ind w:firstLine="422" w:firstLineChars="200"/>
        <w:rPr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  <w:color w:val="000000" w:themeColor="text1"/>
          <w14:textFill>
            <w14:solidFill>
              <w14:schemeClr w14:val="tx1"/>
            </w14:solidFill>
          </w14:textFill>
        </w:rPr>
        <w:t>登录系统，主页概况信息显示学生的概况，包括姓名、院系、学号、专业、考生号、学历等信息</w:t>
      </w:r>
    </w:p>
    <w:p>
      <w:pPr>
        <w:spacing w:line="360" w:lineRule="auto"/>
        <w:ind w:firstLine="422" w:firstLineChars="2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1172845"/>
            <wp:effectExtent l="0" t="0" r="508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概况信息页面</w:t>
      </w:r>
    </w:p>
    <w:p>
      <w:pPr>
        <w:pStyle w:val="5"/>
      </w:pPr>
      <w:r>
        <w:rPr>
          <w:rFonts w:hint="eastAsia"/>
        </w:rPr>
        <w:t>编辑账户</w:t>
      </w:r>
    </w:p>
    <w:p>
      <w:pPr>
        <w:spacing w:line="360" w:lineRule="auto"/>
        <w:ind w:firstLine="422" w:firstLineChars="200"/>
        <w:rPr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  <w:color w:val="000000" w:themeColor="text1"/>
          <w14:textFill>
            <w14:solidFill>
              <w14:schemeClr w14:val="tx1"/>
            </w14:solidFill>
          </w14:textFill>
        </w:rPr>
        <w:t>登录系统，主页编辑账户页面提供学生修改密码的功能，两次输入密码，点击保存按钮即可修改（图5）</w:t>
      </w:r>
    </w:p>
    <w:p>
      <w:pPr>
        <w:spacing w:line="360" w:lineRule="auto"/>
        <w:ind w:firstLine="422" w:firstLineChars="2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18243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编辑账户页面</w:t>
      </w:r>
    </w:p>
    <w:p>
      <w:pPr>
        <w:pStyle w:val="4"/>
      </w:pPr>
      <w:bookmarkStart w:id="2" w:name="_Toc468867318"/>
      <w:r>
        <w:rPr>
          <w:rFonts w:hint="eastAsia"/>
        </w:rPr>
        <w:t>生源信息核对</w:t>
      </w:r>
      <w:bookmarkEnd w:id="2"/>
    </w:p>
    <w:p>
      <w:pPr>
        <w:pStyle w:val="5"/>
      </w:pPr>
      <w:r>
        <w:rPr>
          <w:rFonts w:hint="eastAsia"/>
        </w:rPr>
        <w:t>我的个人信息核对</w:t>
      </w:r>
    </w:p>
    <w:p>
      <w:pPr>
        <w:spacing w:line="360" w:lineRule="auto"/>
        <w:ind w:firstLine="422" w:firstLineChars="200"/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点击，左侧功能列表中“我的个人信息核对”菜单，在“我的个人信息核对”页面，填写“基本信息”、“家庭成员”、“生源地信息”、“学籍信息”并上传自己的照片，点击“保存”按钮提示保存成功，数据默认为管理员审核通过状态。成功保存后就会生成一条操作记录。</w:t>
      </w:r>
    </w:p>
    <w:p>
      <w:pPr>
        <w:spacing w:line="360" w:lineRule="auto"/>
        <w:ind w:firstLine="422" w:firstLineChars="200"/>
      </w:pPr>
      <w:r>
        <w:drawing>
          <wp:inline distT="0" distB="0" distL="0" distR="0">
            <wp:extent cx="5274310" cy="27609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 w:val="0"/>
          <w:bCs/>
          <w:sz w:val="24"/>
        </w:rPr>
      </w:pPr>
      <w:r>
        <w:drawing>
          <wp:inline distT="0" distB="0" distL="114300" distR="114300">
            <wp:extent cx="5264150" cy="53467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操作记录</w:t>
      </w:r>
    </w:p>
    <w:p>
      <w:pPr>
        <w:spacing w:line="360" w:lineRule="auto"/>
        <w:ind w:firstLine="420" w:firstLineChars="200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注意：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b w:val="0"/>
          <w:color w:val="FF0000"/>
        </w:rPr>
        <w:t>1.红色信息为系统给的提醒，星号为必填标志，非必填可不填点击保存，家庭成员点击新增后可删除，灰色文本不可编辑修改。</w:t>
      </w:r>
    </w:p>
    <w:p>
      <w:pPr>
        <w:pStyle w:val="5"/>
      </w:pPr>
      <w:r>
        <w:rPr>
          <w:rFonts w:hint="eastAsia"/>
        </w:rPr>
        <w:t>学生信息勘误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在使用“学生信息勘误”模块之前必须先完善学生信息核对模块，未完善不能进行勘误操作</w:t>
      </w:r>
    </w:p>
    <w:p>
      <w:pPr>
        <w:widowControl/>
        <w:jc w:val="left"/>
      </w:pPr>
      <w:r>
        <w:drawing>
          <wp:inline distT="0" distB="0" distL="0" distR="0">
            <wp:extent cx="4724400" cy="1939925"/>
            <wp:effectExtent l="0" t="0" r="0" b="317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2509" cy="194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学生信息勘误判断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“我的个人信息核对”审核后，如果学生需要对个人信息进行变更，可以打开“学生信息勘误”菜单，进行信息的变更，页面包含“新增”、“删除”、“修改”、“上报”按钮 （图12）。</w:t>
      </w:r>
    </w:p>
    <w:p>
      <w:pPr>
        <w:spacing w:line="360" w:lineRule="auto"/>
        <w:ind w:firstLine="422" w:firstLineChars="200"/>
        <w:jc w:val="left"/>
        <w:rPr>
          <w:sz w:val="24"/>
        </w:rPr>
      </w:pPr>
      <w:r>
        <w:drawing>
          <wp:inline distT="0" distB="0" distL="0" distR="0">
            <wp:extent cx="5274310" cy="1872615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学生信息勘误页面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点击新增按钮，可以添加勘误信息，点击“变更”按钮填写勘误的信息，“撤销”按钮可以撤销填写的信息。</w:t>
      </w:r>
    </w:p>
    <w:p>
      <w:pPr>
        <w:spacing w:line="360" w:lineRule="auto"/>
        <w:ind w:firstLine="422" w:firstLineChars="200"/>
        <w:jc w:val="left"/>
      </w:pPr>
      <w:r>
        <w:drawing>
          <wp:inline distT="0" distB="0" distL="114300" distR="114300">
            <wp:extent cx="5264785" cy="2433955"/>
            <wp:effectExtent l="0" t="0" r="1206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新增勘误</w:t>
      </w:r>
    </w:p>
    <w:p>
      <w:pPr>
        <w:spacing w:line="360" w:lineRule="auto"/>
        <w:ind w:firstLine="420" w:firstLineChars="200"/>
        <w:jc w:val="left"/>
        <w:rPr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</w:rPr>
        <w:t>填写完成勘误信息后，学生可以对勘误信息进行保存或者保存并提交操作。保存后，勘误信息为“草稿“状态，可以进行修改和删除。保存并提交后，数据为待辅导员审核状态，不能进行修改和删除操作。如需修改，可以</w:t>
      </w:r>
      <w:r>
        <w:rPr>
          <w:rFonts w:hint="eastAsia"/>
          <w:b w:val="0"/>
          <w:color w:val="000000" w:themeColor="text1"/>
          <w14:textFill>
            <w14:solidFill>
              <w14:schemeClr w14:val="tx1"/>
            </w14:solidFill>
          </w14:textFill>
        </w:rPr>
        <w:t>点击“赎回”按钮进行赎回，赎回后可以修改勘误信息，并再次进行提交。</w:t>
      </w:r>
    </w:p>
    <w:p>
      <w:pPr>
        <w:spacing w:line="360" w:lineRule="auto"/>
        <w:ind w:firstLine="422" w:firstLineChars="200"/>
        <w:jc w:val="left"/>
        <w:rPr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122170"/>
            <wp:effectExtent l="0" t="0" r="571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点击删除按钮，可以删除添加的勘误信息，只有草稿状态的勘误可以删除。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138680"/>
            <wp:effectExtent l="0" t="0" r="254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删除勘误</w:t>
      </w:r>
    </w:p>
    <w:p>
      <w:pPr>
        <w:spacing w:line="360" w:lineRule="auto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注意：</w:t>
      </w:r>
    </w:p>
    <w:p>
      <w:pPr>
        <w:spacing w:line="360" w:lineRule="auto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1.保存后为草稿状态，点击修改按钮，可以修改添加的勘误信息。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b w:val="0"/>
          <w:color w:val="FF0000"/>
        </w:rPr>
        <w:t>2.学生信息勘误页面点击学生姓名也可以进入修改页面，提交后想再次修改需要先赎回。</w:t>
      </w:r>
    </w:p>
    <w:p>
      <w:pPr>
        <w:pStyle w:val="4"/>
      </w:pPr>
      <w:bookmarkStart w:id="3" w:name="_Toc468867319"/>
      <w:r>
        <w:rPr>
          <w:rFonts w:hint="eastAsia"/>
        </w:rPr>
        <w:t>就业推荐表</w:t>
      </w:r>
      <w:bookmarkEnd w:id="3"/>
    </w:p>
    <w:p>
      <w:pPr>
        <w:pStyle w:val="5"/>
      </w:pPr>
      <w:r>
        <w:rPr>
          <w:rFonts w:hint="eastAsia"/>
        </w:rPr>
        <w:t>我的推荐表</w:t>
      </w:r>
    </w:p>
    <w:p>
      <w:pPr>
        <w:spacing w:line="360" w:lineRule="auto"/>
        <w:ind w:firstLine="422" w:firstLineChars="200"/>
        <w:rPr>
          <w:b w:val="0"/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登录系统，点击左侧功能列表中“我的推荐表”菜单，页面显示“基本信息”、“获奖情况”、“社会实践情况”、“个人简历”、“自我鉴定”等（图19）。</w:t>
      </w:r>
    </w:p>
    <w:p>
      <w:pPr>
        <w:spacing w:line="360" w:lineRule="auto"/>
        <w:ind w:firstLine="422" w:firstLineChars="200"/>
      </w:pPr>
      <w:r>
        <w:drawing>
          <wp:inline distT="0" distB="0" distL="114300" distR="114300">
            <wp:extent cx="5268595" cy="2433955"/>
            <wp:effectExtent l="0" t="0" r="825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我的推荐表页面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注意：1.我的基本信息中部分不可编辑的区域为“我的个人信息核对”页面带出，不能进行修改。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星号为必填标志，不填不能保存提交，点击新增按钮可进行新增操作，也可删除新增。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每成功提交一次操作，就会生成一条操作记录。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color w:val="FF0000"/>
        </w:rPr>
      </w:pPr>
      <w:r>
        <w:rPr>
          <w:rFonts w:hint="eastAsia"/>
          <w:b w:val="0"/>
          <w:color w:val="FF0000"/>
        </w:rPr>
        <w:t>就业推荐表保存之前审核状态为空，点击保存按钮，保存成功后为草稿状态</w:t>
      </w:r>
    </w:p>
    <w:p>
      <w:pPr>
        <w:spacing w:line="360" w:lineRule="auto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color w:val="000000" w:themeColor="text1"/>
          <w14:textFill>
            <w14:solidFill>
              <w14:schemeClr w14:val="tx1"/>
            </w14:solidFill>
          </w14:textFill>
        </w:rPr>
        <w:t>学生填写推荐表信息，完成后点击保存并提交按钮至辅导员进行审核。如果只是保存推荐表信息，数据为草稿状态，还可以进行修改，提交后数据为待辅导员审核状态，不能进行修改，这时如果想要修改推荐表可以进行“赎回”操作。审核通过后，推荐表才可以打印。</w:t>
      </w:r>
    </w:p>
    <w:p>
      <w:pPr>
        <w:spacing w:line="360" w:lineRule="auto"/>
        <w:jc w:val="left"/>
      </w:pPr>
    </w:p>
    <w:p>
      <w:pPr>
        <w:spacing w:line="360" w:lineRule="auto"/>
        <w:ind w:left="422" w:leftChars="200"/>
        <w:rPr>
          <w:color w:val="FF0000"/>
          <w:sz w:val="24"/>
        </w:rPr>
      </w:pPr>
      <w:r>
        <w:drawing>
          <wp:inline distT="0" distB="0" distL="0" distR="0">
            <wp:extent cx="5274310" cy="28314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推荐表填写</w:t>
      </w:r>
    </w:p>
    <w:p>
      <w:pPr>
        <w:pStyle w:val="4"/>
      </w:pPr>
      <w:bookmarkStart w:id="4" w:name="_Toc468867320"/>
      <w:r>
        <w:rPr>
          <w:rFonts w:hint="eastAsia"/>
        </w:rPr>
        <w:t>毕业去向管理</w:t>
      </w:r>
      <w:bookmarkEnd w:id="4"/>
    </w:p>
    <w:p>
      <w:pPr>
        <w:pStyle w:val="5"/>
      </w:pPr>
      <w:r>
        <w:rPr>
          <w:rFonts w:hint="eastAsia"/>
        </w:rPr>
        <w:t>我的毕业去向</w:t>
      </w:r>
    </w:p>
    <w:p>
      <w:pPr>
        <w:spacing w:line="360" w:lineRule="auto"/>
        <w:ind w:firstLine="422" w:firstLineChars="200"/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登录系统，当个人信息核对未完善时，“我的毕业去向”不可用。</w:t>
      </w:r>
    </w:p>
    <w:p>
      <w:pPr>
        <w:spacing w:line="360" w:lineRule="auto"/>
        <w:ind w:firstLine="422" w:firstLineChars="200"/>
        <w:rPr>
          <w:sz w:val="24"/>
        </w:rPr>
      </w:pPr>
      <w:r>
        <w:drawing>
          <wp:inline distT="0" distB="0" distL="0" distR="0">
            <wp:extent cx="5274310" cy="20580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我的毕业去向_空</w:t>
      </w:r>
    </w:p>
    <w:p>
      <w:pPr>
        <w:spacing w:line="360" w:lineRule="auto"/>
        <w:ind w:firstLine="422" w:firstLineChars="200"/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，当个人信息核对完善后，点击左侧功能列表中“我的毕业去向”菜单，显示我的毕业去向页面，页面包含“毕业去向登记”、“赎回”、“删除”、“申请违约”、“申请违约记录”按钮以及去向列表等信息。</w:t>
      </w:r>
    </w:p>
    <w:p>
      <w:pPr>
        <w:spacing w:line="360" w:lineRule="auto"/>
        <w:ind w:firstLine="422" w:firstLineChars="200"/>
      </w:pPr>
      <w:r>
        <w:drawing>
          <wp:inline distT="0" distB="0" distL="0" distR="0">
            <wp:extent cx="5274310" cy="21850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毕业去向主页面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“我的毕业去向”页面点击“毕业去向登记”按钮，进入毕业去向选择页面，包括“签订协议书”、“考研（升学）”、“出国”、“合同就业”、“自主创业（灵活就业）”选项，学生根据自己实际情况，参照提示，选择自己的毕业去向进行登记。</w:t>
      </w:r>
      <w:r>
        <w:rPr>
          <w:rFonts w:ascii="宋体" w:hAnsi="宋体" w:cs="宋体"/>
          <w:b w:val="0"/>
          <w:kern w:val="0"/>
        </w:rPr>
        <w:t xml:space="preserve"> </w:t>
      </w:r>
    </w:p>
    <w:p>
      <w:pPr>
        <w:spacing w:line="360" w:lineRule="auto"/>
        <w:ind w:firstLine="422" w:firstLineChars="200"/>
        <w:jc w:val="left"/>
      </w:pPr>
      <w:r>
        <w:drawing>
          <wp:inline distT="0" distB="0" distL="114300" distR="114300">
            <wp:extent cx="5268595" cy="2445385"/>
            <wp:effectExtent l="0" t="0" r="8255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</w:pP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毕业去向选择页面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毕业去向选择页面，选择一个去向（在此举例合同就业，其他模块对应各自相应业务进行操作），进入毕业去向登记页面，包括“基本信息”、“单位信息”、“报道证信息”、“档案投递信息”、“管理信息”、“学籍信息”、“操作记录”等信息。</w:t>
      </w:r>
    </w:p>
    <w:p>
      <w:pPr>
        <w:spacing w:line="360" w:lineRule="auto"/>
        <w:ind w:firstLine="422" w:firstLineChars="200"/>
        <w:jc w:val="left"/>
      </w:pPr>
      <w:r>
        <w:drawing>
          <wp:inline distT="0" distB="0" distL="0" distR="0">
            <wp:extent cx="5274310" cy="35318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毕业去向登记页面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毕业去向登记页面，必填项填写完毕，点击保存或者暂存，提示保存成功后，“我的毕业去向”页面成功添加一条记录，保存后的毕业去向默认为草稿状态。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339975"/>
            <wp:effectExtent l="0" t="0" r="2540" b="317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新增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毕业去向登记页面，点击“保存并上报”按钮，成功上报后，我的毕业去向审核状态为待辅导员审核，待审核状态可以点击赎回，再次回到草稿状态。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页面显示待审核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629410"/>
            <wp:effectExtent l="0" t="0" r="2540" b="889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我的毕业去向_待辅导员审核状态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辅导员审核通过并上报后，我的毕业去向审核状态为待就业管理员审核；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就业管理员审核通过后，我的毕业去向审核状态为审核通过，审核通过后不可赎回；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在我的毕业去向页面，除了草稿状态的申请，均不能进行删除操作</w:t>
      </w:r>
    </w:p>
    <w:p>
      <w:pPr>
        <w:spacing w:line="360" w:lineRule="auto"/>
        <w:ind w:firstLine="422" w:firstLineChars="200"/>
        <w:jc w:val="left"/>
      </w:pPr>
      <w:r>
        <w:drawing>
          <wp:inline distT="0" distB="0" distL="0" distR="0">
            <wp:extent cx="5274310" cy="1867535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</w:pPr>
    </w:p>
    <w:p>
      <w:pPr>
        <w:spacing w:line="360" w:lineRule="auto"/>
        <w:jc w:val="center"/>
        <w:rPr>
          <w:b w:val="0"/>
          <w:bCs/>
          <w:sz w:val="24"/>
        </w:rPr>
      </w:pPr>
      <w:r>
        <w:rPr>
          <w:rFonts w:hint="eastAsia"/>
          <w:bCs/>
          <w:sz w:val="24"/>
          <w:szCs w:val="24"/>
        </w:rPr>
        <w:t>我的毕业去向_删除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hint="eastAsia"/>
          <w:b w:val="0"/>
          <w:color w:val="FF0000"/>
        </w:rPr>
        <w:t>注意：1.</w:t>
      </w:r>
      <w:r>
        <w:rPr>
          <w:rFonts w:ascii="宋体" w:hAnsi="宋体" w:cs="宋体"/>
          <w:b w:val="0"/>
          <w:color w:val="FF0000"/>
        </w:rPr>
        <w:t>请没有填写毕业去向登记的同学认真慎重填写毕业去向登记表（另：一旦提交，在流程没有走完不可以更改，请提交之前正确填写）</w:t>
      </w:r>
      <w:r>
        <w:rPr>
          <w:rFonts w:hint="eastAsia" w:ascii="宋体" w:hAnsi="宋体" w:cs="宋体"/>
          <w:b w:val="0"/>
          <w:color w:val="FF0000"/>
        </w:rPr>
        <w:t>；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ascii="宋体" w:hAnsi="宋体" w:cs="宋体"/>
          <w:b w:val="0"/>
          <w:color w:val="FF0000"/>
        </w:rPr>
        <w:t>当审核通过后需要变更时，只有管理员设置的毕业去向类型才能进行违约申请</w:t>
      </w:r>
      <w:r>
        <w:rPr>
          <w:rFonts w:hint="eastAsia" w:ascii="宋体" w:hAnsi="宋体" w:cs="宋体"/>
          <w:b w:val="0"/>
          <w:color w:val="FF0000"/>
        </w:rPr>
        <w:t>；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ascii="宋体" w:hAnsi="宋体" w:cs="宋体"/>
          <w:b w:val="0"/>
          <w:color w:val="FF0000"/>
        </w:rPr>
        <w:t>管理员可设置是否只能填写一条去向信息；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ascii="宋体" w:hAnsi="宋体" w:cs="宋体"/>
          <w:b w:val="0"/>
          <w:color w:val="FF0000"/>
        </w:rPr>
        <w:t>需要查看历史变更记录，请点击申请违约记录按钮；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ascii="宋体" w:hAnsi="宋体" w:cs="宋体"/>
          <w:b w:val="0"/>
          <w:color w:val="FF0000"/>
        </w:rPr>
        <w:t>以上操作无需勾选记录；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ascii="宋体" w:hAnsi="宋体" w:cs="宋体"/>
          <w:b w:val="0"/>
          <w:color w:val="FF0000"/>
        </w:rPr>
        <w:t>赎回：对已提交还未进行审核的毕业去向信息，可进行赎回操作；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宋体" w:hAnsi="宋体" w:cs="宋体"/>
          <w:b w:val="0"/>
          <w:color w:val="FF0000"/>
        </w:rPr>
      </w:pPr>
      <w:r>
        <w:rPr>
          <w:rFonts w:ascii="宋体" w:hAnsi="宋体" w:cs="宋体"/>
          <w:b w:val="0"/>
          <w:color w:val="FF0000"/>
        </w:rPr>
        <w:t>删除：只能对草稿状态下的毕业去向信息进行删除操作；</w:t>
      </w:r>
    </w:p>
    <w:p>
      <w:pPr>
        <w:pStyle w:val="5"/>
      </w:pPr>
      <w:r>
        <w:rPr>
          <w:rFonts w:hint="eastAsia"/>
        </w:rPr>
        <w:t>违约申请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审核通过后如果需要变更毕业去向，在我的毕业去向页面点击申请违约按钮，进入违约申请页面，包括违约信息填写和操作记录等信息。</w:t>
      </w:r>
    </w:p>
    <w:p>
      <w:pPr>
        <w:spacing w:line="360" w:lineRule="auto"/>
        <w:ind w:firstLine="422" w:firstLineChars="200"/>
        <w:jc w:val="center"/>
        <w:rPr>
          <w:rFonts w:ascii="宋体" w:hAnsi="宋体" w:cs="宋体"/>
          <w:b w:val="0"/>
          <w:kern w:val="0"/>
        </w:rPr>
      </w:pPr>
      <w:r>
        <w:drawing>
          <wp:inline distT="0" distB="0" distL="0" distR="0">
            <wp:extent cx="2399665" cy="532765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违约申请按钮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148205"/>
            <wp:effectExtent l="0" t="0" r="2540" b="444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 w:val="0"/>
          <w:bCs/>
          <w:sz w:val="24"/>
        </w:rPr>
      </w:pPr>
      <w:r>
        <w:rPr>
          <w:rFonts w:hint="eastAsia"/>
          <w:bCs/>
          <w:sz w:val="24"/>
          <w:szCs w:val="24"/>
        </w:rPr>
        <w:t>填写违约申请页面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违约申请填写完可以保存或者保存并上报，上报后需要辅导员和就业管理员依次审核，（待审核状态可进行赎回操作，取消违约申请）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886585"/>
            <wp:effectExtent l="0" t="0" r="254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（保存）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032635"/>
            <wp:effectExtent l="0" t="0" r="2540" b="571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 w:val="0"/>
          <w:bCs/>
          <w:sz w:val="24"/>
        </w:rPr>
      </w:pPr>
      <w:r>
        <w:rPr>
          <w:rFonts w:hint="eastAsia"/>
          <w:bCs/>
          <w:sz w:val="24"/>
          <w:szCs w:val="24"/>
        </w:rPr>
        <w:t>违约申请上报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违约审核通过后，我的毕业去向未作废状态作废，可以重新申请毕业去向。</w:t>
      </w:r>
    </w:p>
    <w:p>
      <w:pPr>
        <w:spacing w:line="360" w:lineRule="auto"/>
        <w:jc w:val="center"/>
        <w:rPr>
          <w:b w:val="0"/>
          <w:bCs/>
          <w:sz w:val="24"/>
        </w:rPr>
      </w:pPr>
      <w:r>
        <w:drawing>
          <wp:inline distT="0" distB="0" distL="0" distR="0">
            <wp:extent cx="5274310" cy="1378585"/>
            <wp:effectExtent l="0" t="0" r="254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 w:val="0"/>
          <w:bCs/>
          <w:sz w:val="24"/>
        </w:rPr>
      </w:pPr>
      <w:r>
        <w:rPr>
          <w:rFonts w:hint="eastAsia"/>
          <w:bCs/>
          <w:sz w:val="24"/>
          <w:szCs w:val="24"/>
        </w:rPr>
        <w:t>我的毕业去向_作废状态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我的毕业去向页面，点击申请违约记录按钮，页面显示违约申请历史记录，包括“删除”、“上报”一级列表信息，草稿状态的违约申请记录可删除和上报，辅导员审核后就业管理员审核，待审核和审核通过的记录不可删除图</w:t>
      </w:r>
    </w:p>
    <w:p>
      <w:pPr>
        <w:spacing w:line="360" w:lineRule="auto"/>
        <w:ind w:firstLine="422" w:firstLineChars="200"/>
        <w:jc w:val="left"/>
      </w:pPr>
      <w:r>
        <w:drawing>
          <wp:inline distT="0" distB="0" distL="0" distR="0">
            <wp:extent cx="5274310" cy="1087755"/>
            <wp:effectExtent l="0" t="0" r="254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 w:val="0"/>
          <w:bCs/>
          <w:sz w:val="24"/>
        </w:rPr>
      </w:pPr>
      <w:r>
        <w:rPr>
          <w:rFonts w:hint="eastAsia"/>
          <w:bCs/>
          <w:sz w:val="24"/>
          <w:szCs w:val="24"/>
        </w:rPr>
        <w:t>违约申请历史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Segoe U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5F1B"/>
    <w:multiLevelType w:val="multilevel"/>
    <w:tmpl w:val="052A5F1B"/>
    <w:lvl w:ilvl="0" w:tentative="0">
      <w:start w:val="1"/>
      <w:numFmt w:val="bullet"/>
      <w:pStyle w:val="28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5654B15"/>
    <w:multiLevelType w:val="multilevel"/>
    <w:tmpl w:val="55654B15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 w:tentative="0">
      <w:start w:val="1"/>
      <w:numFmt w:val="decimal"/>
      <w:pStyle w:val="7"/>
      <w:lvlText w:val="%6."/>
      <w:lvlJc w:val="left"/>
      <w:pPr>
        <w:ind w:left="360" w:hanging="36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2">
    <w:nsid w:val="57D1011E"/>
    <w:multiLevelType w:val="singleLevel"/>
    <w:tmpl w:val="57D1011E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7D7A803"/>
    <w:multiLevelType w:val="singleLevel"/>
    <w:tmpl w:val="57D7A803"/>
    <w:lvl w:ilvl="0" w:tentative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B1"/>
    <w:rsid w:val="00706FB1"/>
    <w:rsid w:val="00712C98"/>
    <w:rsid w:val="00C10BF4"/>
    <w:rsid w:val="00D74E6C"/>
    <w:rsid w:val="4B3A3307"/>
    <w:rsid w:val="767D432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b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14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4"/>
    <w:link w:val="13"/>
    <w:uiPriority w:val="99"/>
    <w:rPr>
      <w:sz w:val="18"/>
      <w:szCs w:val="18"/>
    </w:rPr>
  </w:style>
  <w:style w:type="character" w:customStyle="1" w:styleId="17">
    <w:name w:val="页脚 Char"/>
    <w:basedOn w:val="14"/>
    <w:link w:val="12"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20">
    <w:name w:val="标题 3 Char"/>
    <w:basedOn w:val="14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character" w:customStyle="1" w:styleId="21">
    <w:name w:val="标题 4 Char"/>
    <w:basedOn w:val="14"/>
    <w:link w:val="5"/>
    <w:uiPriority w:val="0"/>
    <w:rPr>
      <w:rFonts w:ascii="Calibri" w:hAnsi="Calibri" w:eastAsia="宋体" w:cs="Times New Roman"/>
      <w:b/>
      <w:bCs/>
      <w:sz w:val="32"/>
      <w:szCs w:val="28"/>
    </w:rPr>
  </w:style>
  <w:style w:type="character" w:customStyle="1" w:styleId="22">
    <w:name w:val="标题 5 Char"/>
    <w:basedOn w:val="14"/>
    <w:link w:val="6"/>
    <w:qFormat/>
    <w:uiPriority w:val="9"/>
    <w:rPr>
      <w:rFonts w:ascii="Calibri" w:hAnsi="Calibri" w:eastAsia="宋体" w:cs="Times New Roman"/>
      <w:bCs/>
      <w:sz w:val="28"/>
      <w:szCs w:val="28"/>
    </w:rPr>
  </w:style>
  <w:style w:type="character" w:customStyle="1" w:styleId="23">
    <w:name w:val="标题 6 Char"/>
    <w:basedOn w:val="14"/>
    <w:link w:val="7"/>
    <w:qFormat/>
    <w:uiPriority w:val="9"/>
    <w:rPr>
      <w:rFonts w:ascii="Calibri Light" w:hAnsi="Calibri Light" w:eastAsia="宋体" w:cs="Times New Roman"/>
      <w:bCs/>
      <w:sz w:val="24"/>
      <w:szCs w:val="24"/>
    </w:rPr>
  </w:style>
  <w:style w:type="character" w:customStyle="1" w:styleId="24">
    <w:name w:val="标题 7 Char"/>
    <w:basedOn w:val="14"/>
    <w:link w:val="8"/>
    <w:uiPriority w:val="9"/>
    <w:rPr>
      <w:rFonts w:ascii="Calibri" w:hAnsi="Calibri" w:eastAsia="宋体" w:cs="Times New Roman"/>
      <w:bCs/>
      <w:sz w:val="24"/>
      <w:szCs w:val="24"/>
    </w:rPr>
  </w:style>
  <w:style w:type="character" w:customStyle="1" w:styleId="25">
    <w:name w:val="标题 8 Char"/>
    <w:basedOn w:val="14"/>
    <w:link w:val="9"/>
    <w:qFormat/>
    <w:uiPriority w:val="9"/>
    <w:rPr>
      <w:rFonts w:ascii="Calibri Light" w:hAnsi="Calibri Light" w:eastAsia="宋体" w:cs="Times New Roman"/>
      <w:b/>
      <w:sz w:val="24"/>
      <w:szCs w:val="24"/>
    </w:rPr>
  </w:style>
  <w:style w:type="character" w:customStyle="1" w:styleId="26">
    <w:name w:val="标题 9 Char"/>
    <w:basedOn w:val="14"/>
    <w:link w:val="10"/>
    <w:uiPriority w:val="9"/>
    <w:rPr>
      <w:rFonts w:ascii="Calibri Light" w:hAnsi="Calibri Light" w:eastAsia="宋体" w:cs="Times New Roman"/>
      <w:b/>
      <w:szCs w:val="21"/>
    </w:rPr>
  </w:style>
  <w:style w:type="character" w:customStyle="1" w:styleId="27">
    <w:name w:val="批注框文本 Char"/>
    <w:basedOn w:val="14"/>
    <w:link w:val="11"/>
    <w:semiHidden/>
    <w:qFormat/>
    <w:uiPriority w:val="99"/>
    <w:rPr>
      <w:rFonts w:ascii="Calibri" w:hAnsi="Calibri" w:eastAsia="宋体" w:cs="Times New Roman"/>
      <w:b/>
      <w:sz w:val="18"/>
      <w:szCs w:val="18"/>
    </w:rPr>
  </w:style>
  <w:style w:type="paragraph" w:customStyle="1" w:styleId="28">
    <w:name w:val="列出段落1"/>
    <w:basedOn w:val="1"/>
    <w:qFormat/>
    <w:uiPriority w:val="34"/>
    <w:pPr>
      <w:numPr>
        <w:ilvl w:val="0"/>
        <w:numId w:val="2"/>
      </w:numPr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371</Words>
  <Characters>2120</Characters>
  <Lines>17</Lines>
  <Paragraphs>4</Paragraphs>
  <ScaleCrop>false</ScaleCrop>
  <LinksUpToDate>false</LinksUpToDate>
  <CharactersWithSpaces>2487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2016-12-09T06:27:00Z</dcterms:created>
  <dc:creator>windows</dc:creator>
  <cp:lastModifiedBy>ZhaoSheng</cp:lastModifiedBy>
  <dcterms:modified xsi:type="dcterms:W3CDTF">2017-02-24T02:14:22Z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