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5497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大庆市龙凤区2024年度事业单位</w:t>
      </w:r>
    </w:p>
    <w:p w14:paraId="4536AA8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人才引进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公告</w:t>
      </w:r>
    </w:p>
    <w:p w14:paraId="05CD933D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</w:p>
    <w:p w14:paraId="1E078201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为深入实施新时代人才强区战略，进一步加强事业单位人才队伍建设，优化人才队伍结构，根据工作安排，启动2024年度事业单位人才引进工作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，现将有关事项公告如下：</w:t>
      </w:r>
    </w:p>
    <w:p w14:paraId="6BBED80B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u w:val="none"/>
        </w:rPr>
      </w:pPr>
      <w:r>
        <w:rPr>
          <w:rStyle w:val="11"/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一、引才计划</w:t>
      </w:r>
    </w:p>
    <w:p w14:paraId="1A04C16F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本次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计划引进人才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名。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具体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年龄要求、学历要求、岗位设置、岗位计划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专业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要求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等内容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详见《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大庆市龙凤区2024年度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事业单位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人才引进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计划表》（附件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。</w:t>
      </w:r>
    </w:p>
    <w:p w14:paraId="3C8B384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11"/>
          <w:rFonts w:hint="eastAsia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二、</w:t>
      </w:r>
      <w:r>
        <w:rPr>
          <w:rStyle w:val="11"/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资格条件</w:t>
      </w:r>
    </w:p>
    <w:p w14:paraId="741798A9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u w:val="none"/>
        </w:rPr>
        <w:t>（一）基本条件</w:t>
      </w:r>
    </w:p>
    <w:p w14:paraId="1F08E46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 具有中华人民共和国国籍。</w:t>
      </w:r>
    </w:p>
    <w:p w14:paraId="356CFAB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 遵守宪法和法律，具有良好的品行、职业道德和社会公德。</w:t>
      </w:r>
    </w:p>
    <w:p w14:paraId="20D8B27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 具有正常履行职责的身体条件和心理素质，符合国家公务员录用体检标准。</w:t>
      </w:r>
    </w:p>
    <w:p w14:paraId="75AF06D6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学习成绩良好，专业知识扎实，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能够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按规定学制如期取得学历证书和学位证书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 w14:paraId="5115D76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 服从引进单位对岗位的安排和调整。</w:t>
      </w:r>
    </w:p>
    <w:p w14:paraId="5689C305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 法律法规规定的其他条件。</w:t>
      </w:r>
    </w:p>
    <w:p w14:paraId="023013F9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u w:val="none"/>
        </w:rPr>
        <w:t>（二）岗位条件</w:t>
      </w:r>
    </w:p>
    <w:p w14:paraId="3210A864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1.年龄计算</w:t>
      </w:r>
    </w:p>
    <w:p w14:paraId="58E37A29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报考人员年龄计算以身份证出生日期为准。年龄25周岁及以下是指1998年9月4日及以后出生，30周岁及以下是指1993年9月4日及以后出生，35周岁及以下是指1988年9月4日及以后出生。</w:t>
      </w:r>
    </w:p>
    <w:p w14:paraId="621C4EFE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2.学历（学位）和资格证书要求</w:t>
      </w:r>
    </w:p>
    <w:p w14:paraId="15F538ED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考人员需取得与报考学历相对应的学位，学历毕业证上所学专业与报考岗位专业要求相一致。研究生学历的，须具有统招大学本科学历和学士学位。报考人员的学历学位证书必须于2025年7月31日前取得，未在规定期限内取得的，则取消引进资格。</w:t>
      </w:r>
    </w:p>
    <w:p w14:paraId="6747D0D5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引进对象不包含定向培养、委托培养、专升本的人员。</w:t>
      </w:r>
    </w:p>
    <w:p w14:paraId="63CE9B56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．除符合上述基本条件外，还应具备引进岗位所需的其它条件要求。</w:t>
      </w:r>
    </w:p>
    <w:p w14:paraId="3AAB03D0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u w:val="none"/>
        </w:rPr>
        <w:t>（三）有下列情形之一的，不予引进</w:t>
      </w:r>
    </w:p>
    <w:p w14:paraId="152860DB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1．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年龄未满18周岁的人员。</w:t>
      </w:r>
    </w:p>
    <w:p w14:paraId="473104F5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 xml:space="preserve">2.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在读的普通高校非应届毕业生。</w:t>
      </w:r>
    </w:p>
    <w:p w14:paraId="52EFE9CA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．因犯罪受过刑事处罚人员、被开除中国共产党党籍人员、被开除公职人员。</w:t>
      </w:r>
    </w:p>
    <w:p w14:paraId="25A9B094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．在各级公务员考录、事业单位招聘考试中被认定有舞弊等严重违反考试录用纪律行为，仍在禁考期人员。</w:t>
      </w:r>
    </w:p>
    <w:p w14:paraId="30CEAFEE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．涉嫌违纪违法正在接受有关部门审查尚未作出结论人员。</w:t>
      </w:r>
    </w:p>
    <w:p w14:paraId="2D3F829C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．被依法列为失信联合惩戒对象人员。</w:t>
      </w:r>
    </w:p>
    <w:p w14:paraId="4BE2E5A7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．法律法规规定不宜聘为事业单位工作人员的其他情形的人员。</w:t>
      </w:r>
    </w:p>
    <w:p w14:paraId="4ABA81AF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报考者不得报考聘用后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具有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《事业单位人事管理回避规定》第六条所列情形的岗位。</w:t>
      </w:r>
    </w:p>
    <w:p w14:paraId="3571F3F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/>
        </w:rPr>
      </w:pPr>
      <w:r>
        <w:rPr>
          <w:rStyle w:val="11"/>
          <w:rFonts w:hint="eastAsia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三、</w:t>
      </w:r>
      <w:r>
        <w:rPr>
          <w:rStyle w:val="11"/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报名方法</w:t>
      </w:r>
      <w:r>
        <w:rPr>
          <w:rStyle w:val="11"/>
          <w:rFonts w:hint="eastAsia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及资格审查</w:t>
      </w:r>
    </w:p>
    <w:p w14:paraId="08D727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val="en-US" w:eastAsia="zh-CN"/>
        </w:rPr>
        <w:t>报考综合岗1的：采取网络报名或现场报名方式，同步开展资格审查。网络报名自2024年9月5日08：30开始，截止时间为每场次校园招聘会开始前2日；现场报名时间以实际进入高校现场引才活动时间为准（每人限报一个岗位），截止时间为每场次校园现场招聘会结束时间，时间及地点另行通知。</w:t>
      </w:r>
    </w:p>
    <w:p w14:paraId="2C5F5D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报考其他岗位的：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采取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网络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报名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方式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，同步开展资格审查。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报名自2024年9月5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08：30开始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报名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kern w:val="2"/>
          <w:sz w:val="32"/>
          <w:szCs w:val="32"/>
          <w:u w:val="none"/>
          <w:lang w:val="en-US" w:eastAsia="zh-CN" w:bidi="ar-SA"/>
        </w:rPr>
        <w:t>每人限报一个岗位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视报名、现场招聘会开展等情况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，提前一周公示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截止时间。</w:t>
      </w:r>
    </w:p>
    <w:p w14:paraId="4FE05E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instrText xml:space="preserve"> HYPERLINK "mailto:lfqrcb@163.com，邮件主题和附件名称统一为\“姓名+毕业院校及专业+学历层次+手机号码\”。未按要求格式报名的均视为无效报名。报考人员只能选择一个岗位报名，多个邮箱收到同一人报名材料，以邮件接收时间最早为准，其他岗位报名无效，报名与考试时使用的身份证必须一致。报名时如实提交有关信息和材料。凡弄虚作假的，一经查实取消报名聘用资格。通过资格审查人数与该岗位计划招聘数的比例达不到3:1，视情况研究是否缩减" </w:instrTex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报名与考试时使用的身份证必须一致。报名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必须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如实提交有关信息和材料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凡弄虚作假的，一经查实取消报名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、引进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资格。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fldChar w:fldCharType="end"/>
      </w:r>
    </w:p>
    <w:p w14:paraId="1EC6A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网络报名系统：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val="en-US" w:eastAsia="zh-CN"/>
        </w:rPr>
        <w:fldChar w:fldCharType="begin"/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val="en-US" w:eastAsia="zh-CN"/>
        </w:rPr>
        <w:instrText xml:space="preserve"> HYPERLINK "http://lfqwzzb.hjlrencai.com/dqslfq2024.html" </w:instrTex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val="en-US" w:eastAsia="zh-CN"/>
        </w:rPr>
        <w:fldChar w:fldCharType="separate"/>
      </w:r>
      <w:r>
        <w:rPr>
          <w:rStyle w:val="12"/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http://lfqwzzb.hjlrencai.com/dqslfq2024.html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val="en-US" w:eastAsia="zh-CN"/>
        </w:rPr>
        <w:fldChar w:fldCharType="end"/>
      </w:r>
    </w:p>
    <w:p w14:paraId="227DE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/>
          <w:color w:val="auto"/>
          <w:sz w:val="32"/>
          <w:szCs w:val="32"/>
          <w:u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u w:val="none"/>
          <w:lang w:val="en-US" w:eastAsia="zh-CN"/>
        </w:rPr>
        <w:t>四</w:t>
      </w:r>
      <w:r>
        <w:rPr>
          <w:rFonts w:hint="eastAsia" w:eastAsia="黑体"/>
          <w:color w:val="auto"/>
          <w:sz w:val="32"/>
          <w:szCs w:val="32"/>
          <w:u w:val="none"/>
        </w:rPr>
        <w:t>、</w:t>
      </w:r>
      <w:r>
        <w:rPr>
          <w:rFonts w:hint="eastAsia" w:eastAsia="黑体"/>
          <w:color w:val="auto"/>
          <w:sz w:val="32"/>
          <w:szCs w:val="32"/>
          <w:u w:val="none"/>
          <w:lang w:val="en-US" w:eastAsia="zh-CN"/>
        </w:rPr>
        <w:t>引才</w:t>
      </w:r>
      <w:r>
        <w:rPr>
          <w:rFonts w:hint="eastAsia" w:eastAsia="黑体"/>
          <w:color w:val="auto"/>
          <w:sz w:val="32"/>
          <w:szCs w:val="32"/>
          <w:u w:val="none"/>
          <w:lang w:eastAsia="zh-CN"/>
        </w:rPr>
        <w:t>程序</w:t>
      </w:r>
    </w:p>
    <w:p w14:paraId="5C580280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报考综合岗1的：不设开考比例，拟在北京、上海、哈尔滨、长春等城市召开现场招聘会，并设立能力测评考点，通过能力测评方式确定进入体检考察人员名单，并签订意向协议。如高校引才活动结束后，综合岗1引进计划有剩余，可结合实际，将剩余计划纳入其他岗位。能力测评具体时间和地点另行通知。</w:t>
      </w:r>
    </w:p>
    <w:p w14:paraId="0452FE1A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报考其他岗位的：视报名人员数量情况，采取面谈（或笔试）+面试方式确定进入体检考察人员名单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。</w:t>
      </w:r>
    </w:p>
    <w:p w14:paraId="7AF8A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_GB2312" w:hAnsi="仿宋" w:eastAsia="楷体_GB2312"/>
          <w:color w:val="auto"/>
          <w:sz w:val="32"/>
          <w:szCs w:val="32"/>
          <w:u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u w:val="none"/>
        </w:rPr>
        <w:t>　　</w:t>
      </w:r>
      <w:r>
        <w:rPr>
          <w:rFonts w:hint="eastAsia" w:ascii="楷体_GB2312" w:hAnsi="仿宋" w:eastAsia="楷体_GB2312"/>
          <w:color w:val="auto"/>
          <w:sz w:val="32"/>
          <w:szCs w:val="32"/>
          <w:u w:val="none"/>
        </w:rPr>
        <w:t>（一）</w:t>
      </w:r>
      <w:r>
        <w:rPr>
          <w:rFonts w:hint="eastAsia" w:ascii="楷体_GB2312" w:hAnsi="仿宋" w:eastAsia="楷体_GB2312"/>
          <w:color w:val="auto"/>
          <w:sz w:val="32"/>
          <w:szCs w:val="32"/>
          <w:u w:val="none"/>
          <w:lang w:eastAsia="zh-CN"/>
        </w:rPr>
        <w:t>面谈（</w:t>
      </w:r>
      <w:r>
        <w:rPr>
          <w:rFonts w:hint="eastAsia" w:ascii="楷体_GB2312" w:hAnsi="仿宋" w:eastAsia="楷体_GB2312"/>
          <w:color w:val="auto"/>
          <w:sz w:val="32"/>
          <w:szCs w:val="32"/>
          <w:u w:val="none"/>
        </w:rPr>
        <w:t>笔试</w:t>
      </w:r>
      <w:r>
        <w:rPr>
          <w:rFonts w:hint="eastAsia" w:ascii="楷体_GB2312" w:hAnsi="仿宋" w:eastAsia="楷体_GB2312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楷体_GB2312" w:hAnsi="仿宋" w:eastAsia="楷体_GB2312"/>
          <w:color w:val="auto"/>
          <w:sz w:val="32"/>
          <w:szCs w:val="32"/>
          <w:u w:val="none"/>
        </w:rPr>
        <w:t xml:space="preserve"> </w:t>
      </w:r>
    </w:p>
    <w:p w14:paraId="7A074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 xml:space="preserve">1.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面谈主要了解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报考人员相关知识掌握情况及相关能力素质情况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。</w:t>
      </w:r>
    </w:p>
    <w:p w14:paraId="7A56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 xml:space="preserve">2.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笔试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采取闭卷考试方式进行，主要考察综合能力素质、专业知识素养、文字综合能力等。</w:t>
      </w:r>
    </w:p>
    <w:p w14:paraId="30317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u w:val="none"/>
        </w:rPr>
        <w:t>　</w:t>
      </w:r>
      <w:r>
        <w:rPr>
          <w:rFonts w:hint="eastAsia" w:ascii="楷体_GB2312" w:hAnsi="仿宋" w:eastAsia="楷体_GB2312"/>
          <w:color w:val="auto"/>
          <w:sz w:val="32"/>
          <w:szCs w:val="32"/>
          <w:u w:val="none"/>
        </w:rPr>
        <w:t xml:space="preserve">　（二）面试 </w:t>
      </w:r>
    </w:p>
    <w:p w14:paraId="35016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1. 进入原则。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面谈（或笔试）结束后，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各岗位根据面谈（或笔试）成绩从高到低顺序，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按照不高于岗位计划3:1、不低于岗位计划1.5:1的比例确定进入面试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人选，若同一岗位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末位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成绩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出现并列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，则相应扩大该岗位面试人选数量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面谈（或笔试）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成绩低于60分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，不得进入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"/>
        </w:rPr>
        <w:t>面试环节。</w:t>
      </w:r>
    </w:p>
    <w:p w14:paraId="217E26CF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进入面试人员，在面试前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须参加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现场资格确认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现场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提供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相关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材料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（详见附件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凡有关材料主要信息不实或未能按要求提供材料，影响资格确认结果的将取消面试资格，并从相应岗位报考人员中按面谈（或笔试）成绩依次进行递补。</w:t>
      </w:r>
    </w:p>
    <w:p w14:paraId="590E818A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经现场资格确认，对进入面试人数与岗位引进计划的比例低于1.5:1的，将按比例核减或取消该岗位引进计划，相关信息在大庆市龙凤区人民政府网站公布。</w:t>
      </w:r>
    </w:p>
    <w:p w14:paraId="7116CABD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筛选方式。原则采取结构化面试，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满分100分，成绩取小数点后2位数（四舍五入），现场公布成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绩（末位出现并列的，以面谈排名或笔试成绩高者优先，如依然并列，则进行加试），面试成绩低于60分者，不得进入考核与体检环节。考试结束后，根据面试成绩由高分到低分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顺序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，按岗位引进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1:1比例确定进入体检考核人选，并签订意向协议。</w:t>
      </w:r>
    </w:p>
    <w:p w14:paraId="03984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具体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时间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地点另行通知。</w:t>
      </w:r>
    </w:p>
    <w:p w14:paraId="6247D0DF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68" w:firstLineChars="200"/>
        <w:jc w:val="both"/>
        <w:textAlignment w:val="auto"/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楷体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eastAsia="zh-CN"/>
        </w:rPr>
        <w:t>（三）</w:t>
      </w:r>
      <w:r>
        <w:rPr>
          <w:rFonts w:hint="default" w:ascii="Times New Roman" w:hAnsi="Times New Roman" w:eastAsia="楷体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考核与体检。</w:t>
      </w: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  <w:lang w:eastAsia="zh-CN"/>
        </w:rPr>
        <w:t>将通过户籍所在地、学校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  <w:lang w:val="en-US" w:eastAsia="zh-CN"/>
        </w:rPr>
        <w:t>工作单位</w:t>
      </w: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  <w:lang w:eastAsia="zh-CN"/>
        </w:rPr>
        <w:t>及查阅档案等方式进行，重点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</w:rPr>
        <w:t>对拟引进人才的思想政治表现、道德品质、业务能力、工作实绩、在校表现等情况进行考核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</w:rPr>
        <w:t>体检内容与健康标准参照《国家公务员录用体检通用标准（试行）》执行（体检费用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lang w:val="en-US" w:eastAsia="zh-CN"/>
        </w:rPr>
        <w:t>报考人员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</w:rPr>
        <w:t>自理）</w:t>
      </w: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</w:rPr>
        <w:t>。</w:t>
      </w:r>
    </w:p>
    <w:p w14:paraId="185B9B14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68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（</w:t>
      </w:r>
      <w:r>
        <w:rPr>
          <w:rFonts w:hint="default" w:ascii="Times New Roman" w:hAnsi="Times New Roman" w:eastAsia="楷体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eastAsia="zh-CN"/>
        </w:rPr>
        <w:t>四</w:t>
      </w:r>
      <w:r>
        <w:rPr>
          <w:rFonts w:hint="default" w:ascii="Times New Roman" w:hAnsi="Times New Roman" w:eastAsia="楷体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）递补原则。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面谈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eastAsia="zh-CN"/>
        </w:rPr>
        <w:t>（或笔试）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进入面试环节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因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  <w:t>报考人员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放弃或不符合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资格出现岗位空缺的，按照该岗位面谈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  <w:t>成绩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排名或笔试成绩从高分到低分依次递补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进入面试人员名单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公示后不再递补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。进入考核与体检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  <w:t>环节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  <w:t>人员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  <w:t>名单公示后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考核与体检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  <w:t>过程中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出现岗位空缺的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  <w:lang w:val="en-US" w:eastAsia="zh-CN"/>
        </w:rPr>
        <w:t>不再递补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7"/>
          <w:sz w:val="32"/>
          <w:szCs w:val="32"/>
          <w:u w:val="none"/>
        </w:rPr>
        <w:t>。</w:t>
      </w:r>
    </w:p>
    <w:p w14:paraId="1A09B88C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u w:val="none"/>
        </w:rPr>
        <w:t>（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u w:val="none"/>
          <w:lang w:eastAsia="zh-CN"/>
        </w:rPr>
        <w:t>五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u w:val="none"/>
        </w:rPr>
        <w:t>）公示并办理手续。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拟引进人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名单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龙凤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政府网站进行公示，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公示期为7个工作日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。公示期间，对有问题反映并查实影响录用的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取消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引进资格，由此产生的空缺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不予递补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对公示期满无异议拟引进人员，按有关规定办理相关手续。试用期为1年，最低服务年限为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年（含试用期）。</w:t>
      </w:r>
    </w:p>
    <w:p w14:paraId="5689CBB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11"/>
          <w:rFonts w:hint="eastAsia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五</w:t>
      </w:r>
      <w:r>
        <w:rPr>
          <w:rStyle w:val="11"/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、政策待遇</w:t>
      </w:r>
    </w:p>
    <w:p w14:paraId="79C55BBC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落实事业编制。</w:t>
      </w:r>
    </w:p>
    <w:p w14:paraId="72DAF4A3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引进范围高校Ⅰ的统招本科毕业生和引进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范围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高校Ⅱ的统招硕士研究生，给予3万元安家费。</w:t>
      </w:r>
    </w:p>
    <w:p w14:paraId="01E88E18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引进范围高校Ⅰ的统招硕士研究生和引进范围高校Ⅱ的统招博士研究生，给予6万元安家费。</w:t>
      </w:r>
    </w:p>
    <w:p w14:paraId="7CC46508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四）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引进范围高校Ⅰ的统招博士研究生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给予12万元安家费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 w14:paraId="3EAB2B9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11"/>
          <w:rFonts w:hint="eastAsia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六</w:t>
      </w:r>
      <w:r>
        <w:rPr>
          <w:rStyle w:val="11"/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u w:val="none"/>
          <w:lang w:val="en-US" w:eastAsia="zh-CN" w:bidi="ar"/>
        </w:rPr>
        <w:t>、其他事宜</w:t>
      </w:r>
    </w:p>
    <w:p w14:paraId="3B602A1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（一）报考人员需密切关注大庆市龙凤区人民政府网站发布的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相关公告，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且保持通讯畅通，因个人原因导致无法联系到报考人员造成错过任何环节的，报考人员自行承担相关责任。</w:t>
      </w:r>
    </w:p>
    <w:p w14:paraId="4AA66A7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）报考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应诚信报名，如实填报信息、提供有关材料。资格审查贯穿引才工作全过程，在引才各环节发现报考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弄虚作假、填报信息不实或不符合报考资格条件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有其他违规违纪行为的，取消引进资格。</w:t>
      </w:r>
    </w:p>
    <w:p w14:paraId="2D7587B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）本次人才引进不指定辅导用书，不举办也不委托任何机构组织辅导培训班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敬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请广大报考人员提高警惕，切勿上当受骗。</w:t>
      </w:r>
    </w:p>
    <w:p w14:paraId="2C772B5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）严肃考试纪律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各种形式、各个环节的违纪违规行为，按照《事业单位公开招聘违纪违规行为处理规定》（人社部令第35号）严肃查处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涉嫌犯罪的，移送司法机关处理。</w:t>
      </w:r>
    </w:p>
    <w:p w14:paraId="3F0ACB63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本次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引进由龙凤区人才工作领导小组办公室负责解释。</w:t>
      </w:r>
    </w:p>
    <w:p w14:paraId="7423293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咨询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0459-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6243343</w:t>
      </w:r>
    </w:p>
    <w:p w14:paraId="542832B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咨询时间：工作日8:30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11:30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13:30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17:00</w:t>
      </w:r>
    </w:p>
    <w:p w14:paraId="17B11ED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监督举报电话：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0459-6412388</w:t>
      </w:r>
      <w:bookmarkStart w:id="0" w:name="_GoBack"/>
      <w:bookmarkEnd w:id="0"/>
    </w:p>
    <w:p w14:paraId="728103FC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8" w:leftChars="304" w:right="0" w:hanging="1280" w:hangingChars="4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</w:p>
    <w:p w14:paraId="40DFE9DC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8" w:leftChars="304" w:right="0" w:hanging="1280" w:hangingChars="4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附件：1．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大庆市龙凤区2024年度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事业单位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人才引进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计划表</w:t>
      </w:r>
    </w:p>
    <w:p w14:paraId="176160DA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6" w:leftChars="760" w:right="0" w:hanging="320" w:hangingChars="1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2．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大庆市龙凤区2024年度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事业单位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人才引进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报名登记表</w:t>
      </w:r>
    </w:p>
    <w:p w14:paraId="033D5685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3．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报名须知</w:t>
      </w:r>
    </w:p>
    <w:p w14:paraId="220F0B59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4．引进范围高校Ⅰ、Ⅱ名单</w:t>
      </w:r>
    </w:p>
    <w:p w14:paraId="71D693E7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．QS世界大学排名（全球前200名）</w:t>
      </w:r>
    </w:p>
    <w:p w14:paraId="4799AA04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．关于岗位专业的说明</w:t>
      </w:r>
    </w:p>
    <w:p w14:paraId="7ACCF144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单位同意报考证明（样式）</w:t>
      </w:r>
    </w:p>
    <w:p w14:paraId="12C373CC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8. 党员身份证明（样式）</w:t>
      </w:r>
    </w:p>
    <w:p w14:paraId="7282DDCD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</w:p>
    <w:p w14:paraId="3E3F6D24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3200" w:firstLineChars="10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大庆市龙凤区人才工作领导小组办公室</w:t>
      </w:r>
    </w:p>
    <w:p w14:paraId="43FC3CF6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800" w:firstLineChars="1500"/>
        <w:jc w:val="both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2024年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日</w:t>
      </w:r>
    </w:p>
    <w:sectPr>
      <w:footerReference r:id="rId3" w:type="default"/>
      <w:pgSz w:w="11906" w:h="16838"/>
      <w:pgMar w:top="2098" w:right="1474" w:bottom="1417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74228BC-4EDC-4EF8-92D5-FCDA08A1E7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040E0C8-6C29-4F29-B97D-0FC5B251875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C5839B16-967D-43C9-BA9B-928F8D2FC82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0E50AF0-0EA8-4D5E-94F2-1A76842E051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A3E4591-84EB-49C0-8550-F6FA2859FFB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37AFA593-1979-4FB8-B530-5EC5F2F5F53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B4967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91AFCF"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91AFCF">
                    <w:pPr>
                      <w:pStyle w:val="5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75529B"/>
    <w:multiLevelType w:val="singleLevel"/>
    <w:tmpl w:val="F675529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jNDYwZTExMGZjNGQ3ZTZiYTMyNmU3MTAwYjJiYTIifQ=="/>
  </w:docVars>
  <w:rsids>
    <w:rsidRoot w:val="302B41DC"/>
    <w:rsid w:val="00991ADF"/>
    <w:rsid w:val="00E777F2"/>
    <w:rsid w:val="00F44F67"/>
    <w:rsid w:val="011473B7"/>
    <w:rsid w:val="015B4A06"/>
    <w:rsid w:val="01930622"/>
    <w:rsid w:val="0225703F"/>
    <w:rsid w:val="02DA4F95"/>
    <w:rsid w:val="02F32963"/>
    <w:rsid w:val="03433F84"/>
    <w:rsid w:val="03771E7F"/>
    <w:rsid w:val="03822CFE"/>
    <w:rsid w:val="04F27A0F"/>
    <w:rsid w:val="0546107D"/>
    <w:rsid w:val="06210D68"/>
    <w:rsid w:val="06252090"/>
    <w:rsid w:val="06E047E9"/>
    <w:rsid w:val="074E7D2E"/>
    <w:rsid w:val="076B5857"/>
    <w:rsid w:val="09750C0F"/>
    <w:rsid w:val="098003D6"/>
    <w:rsid w:val="0A42006F"/>
    <w:rsid w:val="0A590C00"/>
    <w:rsid w:val="0B41349E"/>
    <w:rsid w:val="0BA714BE"/>
    <w:rsid w:val="0BDD0D82"/>
    <w:rsid w:val="0CA830A9"/>
    <w:rsid w:val="0D471192"/>
    <w:rsid w:val="0D5F19BA"/>
    <w:rsid w:val="0DA14EDF"/>
    <w:rsid w:val="0E2A7D3A"/>
    <w:rsid w:val="0EC817E1"/>
    <w:rsid w:val="0F0071CD"/>
    <w:rsid w:val="0F4C5F6E"/>
    <w:rsid w:val="0F9F2542"/>
    <w:rsid w:val="0FB0474F"/>
    <w:rsid w:val="0FCE1079"/>
    <w:rsid w:val="10385820"/>
    <w:rsid w:val="10536D66"/>
    <w:rsid w:val="10765998"/>
    <w:rsid w:val="107B0844"/>
    <w:rsid w:val="108C6AAB"/>
    <w:rsid w:val="10EC7A09"/>
    <w:rsid w:val="11545714"/>
    <w:rsid w:val="11904F96"/>
    <w:rsid w:val="12CA5B28"/>
    <w:rsid w:val="13F41152"/>
    <w:rsid w:val="148229B3"/>
    <w:rsid w:val="14AB3D12"/>
    <w:rsid w:val="14B46A8F"/>
    <w:rsid w:val="1533604F"/>
    <w:rsid w:val="16364DB2"/>
    <w:rsid w:val="16DF7EBF"/>
    <w:rsid w:val="17976034"/>
    <w:rsid w:val="17E033E1"/>
    <w:rsid w:val="17E47634"/>
    <w:rsid w:val="18220A05"/>
    <w:rsid w:val="182757CA"/>
    <w:rsid w:val="18583BD5"/>
    <w:rsid w:val="18EA2BB4"/>
    <w:rsid w:val="18EA755B"/>
    <w:rsid w:val="199B7AAC"/>
    <w:rsid w:val="19DF1A26"/>
    <w:rsid w:val="1A0D716D"/>
    <w:rsid w:val="1A1B135F"/>
    <w:rsid w:val="1ADF29E1"/>
    <w:rsid w:val="1AEF1457"/>
    <w:rsid w:val="1B011587"/>
    <w:rsid w:val="1B395F40"/>
    <w:rsid w:val="1B987985"/>
    <w:rsid w:val="1BA809D0"/>
    <w:rsid w:val="1C3D14ED"/>
    <w:rsid w:val="1CFC56FB"/>
    <w:rsid w:val="1D04513B"/>
    <w:rsid w:val="1D0526F4"/>
    <w:rsid w:val="1E0963EA"/>
    <w:rsid w:val="20EA302D"/>
    <w:rsid w:val="214B2E0B"/>
    <w:rsid w:val="226F0499"/>
    <w:rsid w:val="22B66D05"/>
    <w:rsid w:val="22C6022B"/>
    <w:rsid w:val="22EA7FD1"/>
    <w:rsid w:val="235C6C70"/>
    <w:rsid w:val="23FE77B8"/>
    <w:rsid w:val="24743C47"/>
    <w:rsid w:val="25437131"/>
    <w:rsid w:val="254E25E8"/>
    <w:rsid w:val="25657932"/>
    <w:rsid w:val="26CB3956"/>
    <w:rsid w:val="27842B02"/>
    <w:rsid w:val="27A66186"/>
    <w:rsid w:val="28004B2E"/>
    <w:rsid w:val="29174AF6"/>
    <w:rsid w:val="29211DC2"/>
    <w:rsid w:val="2A30050E"/>
    <w:rsid w:val="2A310FFE"/>
    <w:rsid w:val="2A7C19A5"/>
    <w:rsid w:val="2BAA50B0"/>
    <w:rsid w:val="2BBE1B4A"/>
    <w:rsid w:val="2C067EAE"/>
    <w:rsid w:val="2C7A0167"/>
    <w:rsid w:val="2DDD6BFF"/>
    <w:rsid w:val="2DDE64D3"/>
    <w:rsid w:val="2DED1FB5"/>
    <w:rsid w:val="2DF47AA5"/>
    <w:rsid w:val="2E1825D7"/>
    <w:rsid w:val="2E380A6A"/>
    <w:rsid w:val="2E8D61CC"/>
    <w:rsid w:val="2EEB70FA"/>
    <w:rsid w:val="2EEE5A70"/>
    <w:rsid w:val="2F341099"/>
    <w:rsid w:val="301D445D"/>
    <w:rsid w:val="30223F84"/>
    <w:rsid w:val="302B41DC"/>
    <w:rsid w:val="303502A6"/>
    <w:rsid w:val="30D8439D"/>
    <w:rsid w:val="30F07D13"/>
    <w:rsid w:val="31172428"/>
    <w:rsid w:val="312E4485"/>
    <w:rsid w:val="31B1601B"/>
    <w:rsid w:val="31C12394"/>
    <w:rsid w:val="32272FB5"/>
    <w:rsid w:val="32C0323E"/>
    <w:rsid w:val="33275FA8"/>
    <w:rsid w:val="3336005A"/>
    <w:rsid w:val="33D17928"/>
    <w:rsid w:val="33FD3B57"/>
    <w:rsid w:val="344276C4"/>
    <w:rsid w:val="34DF18A1"/>
    <w:rsid w:val="355377A7"/>
    <w:rsid w:val="355F614C"/>
    <w:rsid w:val="356A304A"/>
    <w:rsid w:val="35BD1AC1"/>
    <w:rsid w:val="35C91817"/>
    <w:rsid w:val="36DD5186"/>
    <w:rsid w:val="36FB00F6"/>
    <w:rsid w:val="378679F9"/>
    <w:rsid w:val="387427E7"/>
    <w:rsid w:val="38805F01"/>
    <w:rsid w:val="38A23D88"/>
    <w:rsid w:val="38E57B83"/>
    <w:rsid w:val="394A059E"/>
    <w:rsid w:val="3A6B10EF"/>
    <w:rsid w:val="3A770AF0"/>
    <w:rsid w:val="3B141E04"/>
    <w:rsid w:val="3BA64AD4"/>
    <w:rsid w:val="3C406CD7"/>
    <w:rsid w:val="3CF23CBD"/>
    <w:rsid w:val="3CFB0E50"/>
    <w:rsid w:val="3D9D1F07"/>
    <w:rsid w:val="3DB32660"/>
    <w:rsid w:val="3DB43BB2"/>
    <w:rsid w:val="3DBE4ED8"/>
    <w:rsid w:val="3DC079A3"/>
    <w:rsid w:val="3DF53AF1"/>
    <w:rsid w:val="3DFC7529"/>
    <w:rsid w:val="3E3F6B1A"/>
    <w:rsid w:val="3EEA4CD8"/>
    <w:rsid w:val="3EF9316D"/>
    <w:rsid w:val="3FC25C55"/>
    <w:rsid w:val="3FCF3ECE"/>
    <w:rsid w:val="40572649"/>
    <w:rsid w:val="407A652F"/>
    <w:rsid w:val="41F65B6D"/>
    <w:rsid w:val="42277902"/>
    <w:rsid w:val="428448D0"/>
    <w:rsid w:val="42B45D29"/>
    <w:rsid w:val="430A0889"/>
    <w:rsid w:val="436811BC"/>
    <w:rsid w:val="44581805"/>
    <w:rsid w:val="453727C7"/>
    <w:rsid w:val="45880424"/>
    <w:rsid w:val="45900C0B"/>
    <w:rsid w:val="45E15E6B"/>
    <w:rsid w:val="46341F29"/>
    <w:rsid w:val="46A71F31"/>
    <w:rsid w:val="476733E6"/>
    <w:rsid w:val="47CA1C01"/>
    <w:rsid w:val="47D43AB6"/>
    <w:rsid w:val="48390AC2"/>
    <w:rsid w:val="488D63A0"/>
    <w:rsid w:val="489510BE"/>
    <w:rsid w:val="48B22EB4"/>
    <w:rsid w:val="49396F88"/>
    <w:rsid w:val="49C03205"/>
    <w:rsid w:val="4AB56AE2"/>
    <w:rsid w:val="4B616322"/>
    <w:rsid w:val="4D4759EB"/>
    <w:rsid w:val="4DC71DEB"/>
    <w:rsid w:val="4E1E742F"/>
    <w:rsid w:val="4F2204BE"/>
    <w:rsid w:val="4F2333ED"/>
    <w:rsid w:val="4F2827BA"/>
    <w:rsid w:val="4F2F6737"/>
    <w:rsid w:val="4F361873"/>
    <w:rsid w:val="4F430E55"/>
    <w:rsid w:val="4F585C8E"/>
    <w:rsid w:val="4F8A4C69"/>
    <w:rsid w:val="4FEC63D6"/>
    <w:rsid w:val="507274DB"/>
    <w:rsid w:val="50936F77"/>
    <w:rsid w:val="50987E84"/>
    <w:rsid w:val="51155AAA"/>
    <w:rsid w:val="51AA1382"/>
    <w:rsid w:val="53717E0E"/>
    <w:rsid w:val="5411465D"/>
    <w:rsid w:val="54C94F38"/>
    <w:rsid w:val="55FF79F4"/>
    <w:rsid w:val="56007DEB"/>
    <w:rsid w:val="56156540"/>
    <w:rsid w:val="56FC33A3"/>
    <w:rsid w:val="5734221C"/>
    <w:rsid w:val="575B27BF"/>
    <w:rsid w:val="5779491C"/>
    <w:rsid w:val="581F12E0"/>
    <w:rsid w:val="58235328"/>
    <w:rsid w:val="58A518A0"/>
    <w:rsid w:val="58CD149A"/>
    <w:rsid w:val="58CD2491"/>
    <w:rsid w:val="58E860C4"/>
    <w:rsid w:val="591A5DA5"/>
    <w:rsid w:val="5971464B"/>
    <w:rsid w:val="59A56809"/>
    <w:rsid w:val="59D43183"/>
    <w:rsid w:val="5A23313E"/>
    <w:rsid w:val="5AF431BF"/>
    <w:rsid w:val="5B307ABF"/>
    <w:rsid w:val="5B4466CC"/>
    <w:rsid w:val="5C877BB2"/>
    <w:rsid w:val="5CAB02FC"/>
    <w:rsid w:val="5CB07109"/>
    <w:rsid w:val="5D102CA8"/>
    <w:rsid w:val="5D58695C"/>
    <w:rsid w:val="5E020D97"/>
    <w:rsid w:val="5E0A5B42"/>
    <w:rsid w:val="5E20206C"/>
    <w:rsid w:val="5EB033F0"/>
    <w:rsid w:val="5EE035AA"/>
    <w:rsid w:val="5F5B1F3B"/>
    <w:rsid w:val="5F7206A6"/>
    <w:rsid w:val="5FD549AD"/>
    <w:rsid w:val="60844B35"/>
    <w:rsid w:val="60F90953"/>
    <w:rsid w:val="60FD6695"/>
    <w:rsid w:val="611539DF"/>
    <w:rsid w:val="611A7247"/>
    <w:rsid w:val="6149486D"/>
    <w:rsid w:val="6162299C"/>
    <w:rsid w:val="618B1EF3"/>
    <w:rsid w:val="61AA2726"/>
    <w:rsid w:val="62126170"/>
    <w:rsid w:val="622F22DF"/>
    <w:rsid w:val="623E2F2A"/>
    <w:rsid w:val="63777F00"/>
    <w:rsid w:val="63C42C56"/>
    <w:rsid w:val="63F006F8"/>
    <w:rsid w:val="658B11F4"/>
    <w:rsid w:val="65B13CCA"/>
    <w:rsid w:val="65C3746F"/>
    <w:rsid w:val="65DF2C20"/>
    <w:rsid w:val="66425A84"/>
    <w:rsid w:val="67535261"/>
    <w:rsid w:val="67D85766"/>
    <w:rsid w:val="67EB7247"/>
    <w:rsid w:val="67F72090"/>
    <w:rsid w:val="68731FF2"/>
    <w:rsid w:val="68A37B22"/>
    <w:rsid w:val="68C06926"/>
    <w:rsid w:val="69733B17"/>
    <w:rsid w:val="698838D0"/>
    <w:rsid w:val="69A51972"/>
    <w:rsid w:val="69DE7C4D"/>
    <w:rsid w:val="6A070081"/>
    <w:rsid w:val="6A1D1C45"/>
    <w:rsid w:val="6A1E11DE"/>
    <w:rsid w:val="6ACA583A"/>
    <w:rsid w:val="6ADE3093"/>
    <w:rsid w:val="6B0B7C00"/>
    <w:rsid w:val="6B817EE1"/>
    <w:rsid w:val="6BDD334B"/>
    <w:rsid w:val="6BE42EF5"/>
    <w:rsid w:val="6BE569E1"/>
    <w:rsid w:val="6C557EF8"/>
    <w:rsid w:val="6E7361E8"/>
    <w:rsid w:val="6F7669DD"/>
    <w:rsid w:val="700215D2"/>
    <w:rsid w:val="700853C0"/>
    <w:rsid w:val="706A7768"/>
    <w:rsid w:val="70BD37B5"/>
    <w:rsid w:val="71717484"/>
    <w:rsid w:val="71D241B6"/>
    <w:rsid w:val="71F118FE"/>
    <w:rsid w:val="72151CA9"/>
    <w:rsid w:val="72547143"/>
    <w:rsid w:val="72A11CB1"/>
    <w:rsid w:val="736507F6"/>
    <w:rsid w:val="736E51D0"/>
    <w:rsid w:val="737E350E"/>
    <w:rsid w:val="73AA3452"/>
    <w:rsid w:val="7452064E"/>
    <w:rsid w:val="749D7B1B"/>
    <w:rsid w:val="74AA02E6"/>
    <w:rsid w:val="74F93771"/>
    <w:rsid w:val="753C5586"/>
    <w:rsid w:val="75532081"/>
    <w:rsid w:val="759F5B15"/>
    <w:rsid w:val="75AE311E"/>
    <w:rsid w:val="75CA033B"/>
    <w:rsid w:val="760A7432"/>
    <w:rsid w:val="769911D0"/>
    <w:rsid w:val="76B67EBA"/>
    <w:rsid w:val="76ED1B78"/>
    <w:rsid w:val="77D44A21"/>
    <w:rsid w:val="77FE4D75"/>
    <w:rsid w:val="78743289"/>
    <w:rsid w:val="78970D25"/>
    <w:rsid w:val="78CD4747"/>
    <w:rsid w:val="78D131C3"/>
    <w:rsid w:val="791800B8"/>
    <w:rsid w:val="79FA5CDF"/>
    <w:rsid w:val="7A2F3E32"/>
    <w:rsid w:val="7A6477EE"/>
    <w:rsid w:val="7AED7CD8"/>
    <w:rsid w:val="7B695BC2"/>
    <w:rsid w:val="7B72498F"/>
    <w:rsid w:val="7C326E2E"/>
    <w:rsid w:val="7D130DE7"/>
    <w:rsid w:val="7D607EF7"/>
    <w:rsid w:val="7DE60785"/>
    <w:rsid w:val="7E43016E"/>
    <w:rsid w:val="7F124F98"/>
    <w:rsid w:val="7F7640A8"/>
    <w:rsid w:val="7F8E16DE"/>
    <w:rsid w:val="7F95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spacing w:line="588" w:lineRule="exact"/>
      <w:ind w:firstLine="880" w:firstLineChars="200"/>
    </w:p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No Spacing"/>
    <w:qFormat/>
    <w:uiPriority w:val="0"/>
    <w:pPr>
      <w:adjustRightInd w:val="0"/>
      <w:snapToGrid w:val="0"/>
    </w:pPr>
    <w:rPr>
      <w:rFonts w:ascii="Tahoma" w:hAnsi="Tahoma" w:eastAsia="宋体" w:cs="Times New Roman"/>
      <w:sz w:val="32"/>
      <w:szCs w:val="22"/>
      <w:lang w:val="en-US" w:eastAsia="zh-CN" w:bidi="ar-SA"/>
    </w:rPr>
  </w:style>
  <w:style w:type="character" w:customStyle="1" w:styleId="14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2870</Words>
  <Characters>3035</Characters>
  <Lines>0</Lines>
  <Paragraphs>0</Paragraphs>
  <TotalTime>6</TotalTime>
  <ScaleCrop>false</ScaleCrop>
  <LinksUpToDate>false</LinksUpToDate>
  <CharactersWithSpaces>3054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2024-03-18T02:57:00Z</dcterms:created>
  <dc:creator>李冰冰冰冰洁！</dc:creator>
  <cp:lastModifiedBy>lenovo</cp:lastModifiedBy>
  <cp:lastPrinted>2024-09-04T00:47:00Z</cp:lastPrinted>
  <dcterms:modified xsi:type="dcterms:W3CDTF">2024-09-04T12:55:44Z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56220976CEB3464CA20AA92CF1310505_13</vt:lpwstr>
  </property>
</Properties>
</file>